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51F208">
      <w:pPr>
        <w:pStyle w:val="2"/>
        <w:numPr>
          <w:ilvl w:val="0"/>
          <w:numId w:val="0"/>
        </w:numPr>
        <w:jc w:val="center"/>
        <w:rPr>
          <w:rFonts w:hint="eastAsia" w:ascii="宋体" w:hAnsi="宋体" w:eastAsia="宋体" w:cs="宋体"/>
          <w:b/>
          <w:bCs/>
          <w:color w:val="000000"/>
          <w:sz w:val="32"/>
          <w:szCs w:val="32"/>
        </w:rPr>
      </w:pPr>
      <w:r>
        <w:rPr>
          <w:rFonts w:hint="eastAsia" w:ascii="宋体" w:hAnsi="宋体" w:eastAsia="宋体" w:cs="宋体"/>
          <w:b/>
          <w:bCs/>
          <w:color w:val="000000"/>
          <w:sz w:val="32"/>
          <w:szCs w:val="32"/>
        </w:rPr>
        <w:t>评审办法及标准</w:t>
      </w:r>
    </w:p>
    <w:p w14:paraId="41BF8BDC">
      <w:pPr>
        <w:rPr>
          <w:rFonts w:hint="eastAsia" w:ascii="宋体" w:hAnsi="宋体" w:eastAsia="宋体" w:cs="宋体"/>
          <w:color w:val="000000"/>
        </w:rPr>
      </w:pPr>
    </w:p>
    <w:p w14:paraId="0A6705A7">
      <w:pPr>
        <w:adjustRightInd w:val="0"/>
        <w:snapToGrid w:val="0"/>
        <w:spacing w:line="360" w:lineRule="auto"/>
        <w:rPr>
          <w:rFonts w:hint="eastAsia" w:ascii="宋体" w:hAnsi="宋体" w:eastAsia="宋体" w:cs="宋体"/>
          <w:b/>
          <w:color w:val="000000"/>
          <w:szCs w:val="21"/>
        </w:rPr>
      </w:pPr>
      <w:r>
        <w:rPr>
          <w:rFonts w:hint="eastAsia" w:ascii="宋体" w:hAnsi="宋体" w:eastAsia="宋体" w:cs="宋体"/>
          <w:b/>
          <w:color w:val="000000"/>
          <w:szCs w:val="21"/>
        </w:rPr>
        <w:t>1.评审小组</w:t>
      </w:r>
    </w:p>
    <w:p w14:paraId="663B2B6D">
      <w:pPr>
        <w:adjustRightInd w:val="0"/>
        <w:snapToGrid w:val="0"/>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1.1评审由依法组成的评审小组负责。</w:t>
      </w:r>
    </w:p>
    <w:p w14:paraId="4807E26B">
      <w:pPr>
        <w:adjustRightInd w:val="0"/>
        <w:snapToGrid w:val="0"/>
        <w:spacing w:line="360" w:lineRule="auto"/>
        <w:rPr>
          <w:rFonts w:hint="eastAsia" w:ascii="宋体" w:hAnsi="宋体" w:eastAsia="宋体" w:cs="宋体"/>
          <w:b/>
          <w:color w:val="000000"/>
          <w:szCs w:val="21"/>
        </w:rPr>
      </w:pPr>
      <w:r>
        <w:rPr>
          <w:rFonts w:hint="eastAsia" w:ascii="宋体" w:hAnsi="宋体" w:eastAsia="宋体" w:cs="宋体"/>
          <w:b/>
          <w:bCs/>
          <w:color w:val="000000"/>
          <w:szCs w:val="21"/>
        </w:rPr>
        <w:t>2.</w:t>
      </w:r>
      <w:r>
        <w:rPr>
          <w:rFonts w:hint="eastAsia" w:ascii="宋体" w:hAnsi="宋体" w:eastAsia="宋体" w:cs="宋体"/>
          <w:b/>
          <w:color w:val="000000"/>
          <w:szCs w:val="21"/>
        </w:rPr>
        <w:t>评审方法</w:t>
      </w:r>
    </w:p>
    <w:p w14:paraId="636FC9F6">
      <w:pPr>
        <w:tabs>
          <w:tab w:val="left" w:pos="0"/>
        </w:tabs>
        <w:adjustRightInd w:val="0"/>
        <w:snapToGrid w:val="0"/>
        <w:spacing w:line="360" w:lineRule="auto"/>
        <w:ind w:firstLine="420" w:firstLineChars="200"/>
        <w:rPr>
          <w:rFonts w:hint="eastAsia" w:ascii="宋体" w:hAnsi="宋体" w:eastAsia="宋体" w:cs="宋体"/>
          <w:color w:val="000000"/>
          <w:szCs w:val="21"/>
        </w:rPr>
      </w:pPr>
      <w:r>
        <w:rPr>
          <w:rFonts w:hint="eastAsia" w:ascii="宋体" w:hAnsi="宋体" w:eastAsia="宋体" w:cs="宋体"/>
          <w:color w:val="000000"/>
          <w:szCs w:val="21"/>
        </w:rPr>
        <w:t>2.1评审方法：综合评分法，即响应文件能够最大限度的满足采购文件规定的各项综合评价标准且经评审得分从高至低确定供应商为成交供应商的评标方法。</w:t>
      </w:r>
    </w:p>
    <w:p w14:paraId="213624D7">
      <w:pPr>
        <w:jc w:val="center"/>
        <w:rPr>
          <w:rFonts w:hint="eastAsia" w:ascii="宋体" w:hAnsi="宋体" w:eastAsia="宋体" w:cs="宋体"/>
          <w:color w:val="000000"/>
          <w:szCs w:val="21"/>
        </w:rPr>
      </w:pPr>
    </w:p>
    <w:p w14:paraId="07FB4B72">
      <w:pPr>
        <w:pStyle w:val="6"/>
        <w:ind w:firstLine="480"/>
        <w:rPr>
          <w:rFonts w:hint="eastAsia" w:ascii="宋体" w:hAnsi="宋体" w:eastAsia="宋体" w:cs="宋体"/>
          <w:color w:val="000000"/>
          <w:sz w:val="24"/>
        </w:rPr>
      </w:pPr>
    </w:p>
    <w:p w14:paraId="11161907">
      <w:pPr>
        <w:adjustRightInd w:val="0"/>
        <w:snapToGrid w:val="0"/>
        <w:spacing w:line="360" w:lineRule="auto"/>
        <w:outlineLvl w:val="2"/>
        <w:rPr>
          <w:rFonts w:hint="eastAsia" w:ascii="宋体" w:hAnsi="宋体" w:eastAsia="宋体" w:cs="宋体"/>
          <w:b/>
          <w:bCs/>
          <w:color w:val="000000"/>
          <w:sz w:val="28"/>
          <w:szCs w:val="28"/>
        </w:rPr>
      </w:pPr>
      <w:bookmarkStart w:id="0" w:name="_Toc234225206"/>
      <w:r>
        <w:rPr>
          <w:rFonts w:hint="eastAsia" w:ascii="宋体" w:hAnsi="宋体" w:eastAsia="宋体" w:cs="宋体"/>
          <w:b/>
          <w:bCs/>
          <w:color w:val="000000"/>
          <w:sz w:val="28"/>
          <w:szCs w:val="28"/>
        </w:rPr>
        <w:t>附表1符合性审查表</w:t>
      </w:r>
      <w:bookmarkEnd w:id="0"/>
    </w:p>
    <w:p w14:paraId="1C8930E6">
      <w:pPr>
        <w:adjustRightInd w:val="0"/>
        <w:snapToGrid w:val="0"/>
        <w:spacing w:before="156" w:beforeLines="50" w:line="360" w:lineRule="auto"/>
        <w:jc w:val="center"/>
        <w:rPr>
          <w:rFonts w:hint="eastAsia" w:ascii="宋体" w:hAnsi="宋体" w:eastAsia="宋体" w:cs="宋体"/>
          <w:b/>
          <w:color w:val="000000"/>
          <w:sz w:val="28"/>
          <w:szCs w:val="28"/>
        </w:rPr>
      </w:pPr>
      <w:r>
        <w:rPr>
          <w:rFonts w:hint="eastAsia" w:ascii="宋体" w:hAnsi="宋体" w:eastAsia="宋体" w:cs="宋体"/>
          <w:b/>
          <w:color w:val="000000"/>
          <w:sz w:val="28"/>
          <w:szCs w:val="28"/>
        </w:rPr>
        <w:t>符合性审查表</w:t>
      </w:r>
    </w:p>
    <w:tbl>
      <w:tblPr>
        <w:tblStyle w:val="4"/>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5"/>
        <w:gridCol w:w="2026"/>
        <w:gridCol w:w="6498"/>
      </w:tblGrid>
      <w:tr w14:paraId="0334BD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60" w:hRule="atLeast"/>
        </w:trPr>
        <w:tc>
          <w:tcPr>
            <w:tcW w:w="695" w:type="dxa"/>
            <w:noWrap w:val="0"/>
            <w:vAlign w:val="center"/>
          </w:tcPr>
          <w:p w14:paraId="1C27FE3A">
            <w:pPr>
              <w:adjustRightInd w:val="0"/>
              <w:snapToGrid w:val="0"/>
              <w:spacing w:before="156" w:beforeLines="50" w:line="360" w:lineRule="auto"/>
              <w:jc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序号</w:t>
            </w:r>
          </w:p>
        </w:tc>
        <w:tc>
          <w:tcPr>
            <w:tcW w:w="2026" w:type="dxa"/>
            <w:noWrap w:val="0"/>
            <w:vAlign w:val="center"/>
          </w:tcPr>
          <w:p w14:paraId="672B9044">
            <w:pPr>
              <w:adjustRightInd w:val="0"/>
              <w:snapToGrid w:val="0"/>
              <w:spacing w:before="156" w:beforeLines="50" w:line="360" w:lineRule="auto"/>
              <w:jc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审查项目</w:t>
            </w:r>
          </w:p>
        </w:tc>
        <w:tc>
          <w:tcPr>
            <w:tcW w:w="6498" w:type="dxa"/>
            <w:noWrap w:val="0"/>
            <w:vAlign w:val="center"/>
          </w:tcPr>
          <w:p w14:paraId="6DB8ED89">
            <w:pPr>
              <w:adjustRightInd w:val="0"/>
              <w:snapToGrid w:val="0"/>
              <w:spacing w:before="156" w:beforeLines="50" w:line="360" w:lineRule="auto"/>
              <w:jc w:val="center"/>
              <w:rPr>
                <w:rFonts w:hint="eastAsia" w:ascii="宋体" w:hAnsi="宋体" w:eastAsia="宋体" w:cs="宋体"/>
                <w:b/>
                <w:color w:val="000000"/>
                <w:kern w:val="0"/>
                <w:szCs w:val="21"/>
              </w:rPr>
            </w:pPr>
            <w:r>
              <w:rPr>
                <w:rFonts w:hint="eastAsia" w:ascii="宋体" w:hAnsi="宋体" w:eastAsia="宋体" w:cs="宋体"/>
                <w:b/>
                <w:color w:val="000000"/>
                <w:kern w:val="0"/>
                <w:szCs w:val="21"/>
              </w:rPr>
              <w:t>审查标准</w:t>
            </w:r>
          </w:p>
        </w:tc>
      </w:tr>
      <w:tr w14:paraId="7BD5D4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2" w:hRule="atLeast"/>
        </w:trPr>
        <w:tc>
          <w:tcPr>
            <w:tcW w:w="695" w:type="dxa"/>
            <w:noWrap w:val="0"/>
            <w:vAlign w:val="center"/>
          </w:tcPr>
          <w:p w14:paraId="0C6A1CA7">
            <w:pPr>
              <w:adjustRightInd w:val="0"/>
              <w:snapToGrid w:val="0"/>
              <w:spacing w:before="156" w:beforeLines="50" w:line="360" w:lineRule="auto"/>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1</w:t>
            </w:r>
          </w:p>
        </w:tc>
        <w:tc>
          <w:tcPr>
            <w:tcW w:w="2026" w:type="dxa"/>
            <w:noWrap w:val="0"/>
            <w:vAlign w:val="center"/>
          </w:tcPr>
          <w:p w14:paraId="7D58B6C8">
            <w:pPr>
              <w:adjustRightInd w:val="0"/>
              <w:snapToGrid w:val="0"/>
              <w:spacing w:before="156" w:beforeLines="50" w:line="360" w:lineRule="auto"/>
              <w:rPr>
                <w:rFonts w:hint="eastAsia" w:ascii="宋体" w:hAnsi="宋体" w:eastAsia="宋体" w:cs="宋体"/>
                <w:color w:val="000000"/>
                <w:kern w:val="0"/>
                <w:szCs w:val="21"/>
              </w:rPr>
            </w:pPr>
            <w:r>
              <w:rPr>
                <w:rFonts w:hint="eastAsia" w:ascii="宋体" w:hAnsi="宋体" w:eastAsia="宋体" w:cs="宋体"/>
                <w:color w:val="000000"/>
                <w:szCs w:val="21"/>
              </w:rPr>
              <w:t>实质性要求和条件</w:t>
            </w:r>
          </w:p>
        </w:tc>
        <w:tc>
          <w:tcPr>
            <w:tcW w:w="6498" w:type="dxa"/>
            <w:noWrap w:val="0"/>
            <w:vAlign w:val="center"/>
          </w:tcPr>
          <w:p w14:paraId="39E5A728">
            <w:pPr>
              <w:adjustRightInd w:val="0"/>
              <w:snapToGrid w:val="0"/>
              <w:spacing w:before="156" w:beforeLines="50" w:line="360" w:lineRule="auto"/>
              <w:jc w:val="left"/>
              <w:rPr>
                <w:rFonts w:hint="eastAsia" w:ascii="宋体" w:hAnsi="宋体" w:eastAsia="宋体" w:cs="宋体"/>
                <w:color w:val="000000"/>
                <w:kern w:val="0"/>
                <w:szCs w:val="21"/>
              </w:rPr>
            </w:pPr>
            <w:r>
              <w:rPr>
                <w:rFonts w:hint="eastAsia" w:ascii="宋体" w:hAnsi="宋体" w:eastAsia="宋体" w:cs="宋体"/>
                <w:color w:val="000000"/>
                <w:szCs w:val="21"/>
              </w:rPr>
              <w:t>响应文件不满足采购文件规定的实质性要求和条件的。</w:t>
            </w:r>
          </w:p>
        </w:tc>
      </w:tr>
      <w:tr w14:paraId="771C34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2" w:hRule="atLeast"/>
        </w:trPr>
        <w:tc>
          <w:tcPr>
            <w:tcW w:w="695" w:type="dxa"/>
            <w:noWrap w:val="0"/>
            <w:vAlign w:val="center"/>
          </w:tcPr>
          <w:p w14:paraId="1C994D80">
            <w:pPr>
              <w:adjustRightInd w:val="0"/>
              <w:snapToGrid w:val="0"/>
              <w:spacing w:before="156" w:beforeLines="50" w:line="360" w:lineRule="auto"/>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2</w:t>
            </w:r>
          </w:p>
        </w:tc>
        <w:tc>
          <w:tcPr>
            <w:tcW w:w="2026" w:type="dxa"/>
            <w:noWrap w:val="0"/>
            <w:vAlign w:val="center"/>
          </w:tcPr>
          <w:p w14:paraId="10E0E4A2">
            <w:pPr>
              <w:adjustRightInd w:val="0"/>
              <w:snapToGrid w:val="0"/>
              <w:spacing w:before="156" w:beforeLines="50" w:line="360" w:lineRule="auto"/>
              <w:rPr>
                <w:rFonts w:hint="eastAsia" w:ascii="宋体" w:hAnsi="宋体" w:eastAsia="宋体" w:cs="宋体"/>
                <w:color w:val="000000"/>
                <w:kern w:val="0"/>
                <w:szCs w:val="21"/>
              </w:rPr>
            </w:pPr>
            <w:r>
              <w:rPr>
                <w:rFonts w:hint="eastAsia" w:ascii="宋体" w:hAnsi="宋体" w:eastAsia="宋体" w:cs="宋体"/>
                <w:color w:val="000000"/>
                <w:kern w:val="0"/>
                <w:szCs w:val="21"/>
              </w:rPr>
              <w:t>签署、盖章</w:t>
            </w:r>
          </w:p>
        </w:tc>
        <w:tc>
          <w:tcPr>
            <w:tcW w:w="6498" w:type="dxa"/>
            <w:noWrap w:val="0"/>
            <w:vAlign w:val="center"/>
          </w:tcPr>
          <w:p w14:paraId="6C749B62">
            <w:pPr>
              <w:adjustRightInd w:val="0"/>
              <w:snapToGrid w:val="0"/>
              <w:spacing w:before="156" w:beforeLines="50" w:line="360" w:lineRule="auto"/>
              <w:rPr>
                <w:rFonts w:hint="eastAsia" w:ascii="宋体" w:hAnsi="宋体" w:eastAsia="宋体" w:cs="宋体"/>
                <w:color w:val="000000"/>
                <w:kern w:val="0"/>
                <w:szCs w:val="21"/>
              </w:rPr>
            </w:pPr>
            <w:r>
              <w:rPr>
                <w:rFonts w:hint="eastAsia" w:ascii="宋体" w:hAnsi="宋体" w:eastAsia="宋体" w:cs="宋体"/>
                <w:color w:val="000000"/>
                <w:szCs w:val="21"/>
              </w:rPr>
              <w:t>响应文件未按照采购文件规定要求签署、盖章的。</w:t>
            </w:r>
          </w:p>
        </w:tc>
      </w:tr>
      <w:tr w14:paraId="3C9738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2" w:hRule="atLeast"/>
        </w:trPr>
        <w:tc>
          <w:tcPr>
            <w:tcW w:w="695" w:type="dxa"/>
            <w:noWrap w:val="0"/>
            <w:vAlign w:val="center"/>
          </w:tcPr>
          <w:p w14:paraId="287821B0">
            <w:pPr>
              <w:adjustRightInd w:val="0"/>
              <w:snapToGrid w:val="0"/>
              <w:spacing w:before="156" w:beforeLines="50" w:line="360" w:lineRule="auto"/>
              <w:jc w:val="center"/>
              <w:rPr>
                <w:rFonts w:hint="eastAsia" w:ascii="宋体" w:hAnsi="宋体" w:eastAsia="宋体" w:cs="宋体"/>
                <w:color w:val="000000"/>
                <w:kern w:val="0"/>
                <w:szCs w:val="21"/>
              </w:rPr>
            </w:pPr>
            <w:r>
              <w:rPr>
                <w:rFonts w:hint="eastAsia" w:ascii="宋体" w:hAnsi="宋体" w:eastAsia="宋体" w:cs="宋体"/>
                <w:color w:val="000000"/>
                <w:kern w:val="0"/>
                <w:szCs w:val="21"/>
              </w:rPr>
              <w:t>3</w:t>
            </w:r>
          </w:p>
        </w:tc>
        <w:tc>
          <w:tcPr>
            <w:tcW w:w="2026" w:type="dxa"/>
            <w:noWrap w:val="0"/>
            <w:vAlign w:val="center"/>
          </w:tcPr>
          <w:p w14:paraId="3175E1F1">
            <w:pPr>
              <w:adjustRightInd w:val="0"/>
              <w:snapToGrid w:val="0"/>
              <w:spacing w:before="156" w:beforeLines="50" w:line="360" w:lineRule="auto"/>
              <w:rPr>
                <w:rFonts w:hint="eastAsia" w:ascii="宋体" w:hAnsi="宋体" w:eastAsia="宋体" w:cs="宋体"/>
                <w:color w:val="000000"/>
                <w:kern w:val="0"/>
                <w:szCs w:val="21"/>
              </w:rPr>
            </w:pPr>
            <w:r>
              <w:rPr>
                <w:rFonts w:hint="eastAsia" w:ascii="宋体" w:hAnsi="宋体" w:eastAsia="宋体" w:cs="宋体"/>
                <w:color w:val="000000"/>
                <w:szCs w:val="21"/>
              </w:rPr>
              <w:t>其他响应无效情形</w:t>
            </w:r>
          </w:p>
        </w:tc>
        <w:tc>
          <w:tcPr>
            <w:tcW w:w="6498" w:type="dxa"/>
            <w:noWrap w:val="0"/>
            <w:vAlign w:val="center"/>
          </w:tcPr>
          <w:p w14:paraId="6F460DDE">
            <w:pPr>
              <w:adjustRightInd w:val="0"/>
              <w:snapToGrid w:val="0"/>
              <w:spacing w:before="156" w:beforeLines="50" w:line="360" w:lineRule="auto"/>
              <w:jc w:val="left"/>
              <w:rPr>
                <w:rFonts w:hint="eastAsia" w:ascii="宋体" w:hAnsi="宋体" w:eastAsia="宋体" w:cs="宋体"/>
                <w:color w:val="000000"/>
                <w:kern w:val="0"/>
                <w:szCs w:val="21"/>
              </w:rPr>
            </w:pPr>
            <w:r>
              <w:rPr>
                <w:rFonts w:hint="eastAsia" w:ascii="宋体" w:hAnsi="宋体" w:eastAsia="宋体" w:cs="宋体"/>
                <w:color w:val="000000"/>
                <w:szCs w:val="21"/>
              </w:rPr>
              <w:t>法律、法规和采购文件规定的其他响应无效情形。</w:t>
            </w:r>
          </w:p>
        </w:tc>
      </w:tr>
      <w:tr w14:paraId="639103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88" w:hRule="atLeast"/>
        </w:trPr>
        <w:tc>
          <w:tcPr>
            <w:tcW w:w="695" w:type="dxa"/>
            <w:noWrap w:val="0"/>
            <w:vAlign w:val="center"/>
          </w:tcPr>
          <w:p w14:paraId="09A74F36">
            <w:pPr>
              <w:adjustRightInd w:val="0"/>
              <w:snapToGrid w:val="0"/>
              <w:spacing w:before="156" w:beforeLines="50" w:line="360" w:lineRule="auto"/>
              <w:jc w:val="center"/>
              <w:rPr>
                <w:rFonts w:hint="eastAsia" w:ascii="宋体" w:hAnsi="宋体" w:eastAsia="宋体" w:cs="宋体"/>
                <w:color w:val="000000"/>
                <w:kern w:val="0"/>
                <w:sz w:val="20"/>
                <w:szCs w:val="21"/>
              </w:rPr>
            </w:pPr>
          </w:p>
        </w:tc>
        <w:tc>
          <w:tcPr>
            <w:tcW w:w="2026" w:type="dxa"/>
            <w:noWrap w:val="0"/>
            <w:vAlign w:val="top"/>
          </w:tcPr>
          <w:p w14:paraId="6428D382">
            <w:pPr>
              <w:adjustRightInd w:val="0"/>
              <w:snapToGrid w:val="0"/>
              <w:spacing w:before="156" w:beforeLines="50" w:line="360" w:lineRule="auto"/>
              <w:jc w:val="left"/>
              <w:rPr>
                <w:rFonts w:hint="eastAsia" w:ascii="宋体" w:hAnsi="宋体" w:eastAsia="宋体" w:cs="宋体"/>
                <w:color w:val="000000"/>
                <w:kern w:val="0"/>
                <w:sz w:val="20"/>
                <w:szCs w:val="21"/>
              </w:rPr>
            </w:pPr>
          </w:p>
        </w:tc>
        <w:tc>
          <w:tcPr>
            <w:tcW w:w="6498" w:type="dxa"/>
            <w:noWrap w:val="0"/>
            <w:vAlign w:val="center"/>
          </w:tcPr>
          <w:p w14:paraId="40AC1880">
            <w:pPr>
              <w:adjustRightInd w:val="0"/>
              <w:snapToGrid w:val="0"/>
              <w:spacing w:before="156" w:beforeLines="50" w:line="360" w:lineRule="auto"/>
              <w:jc w:val="center"/>
              <w:rPr>
                <w:rFonts w:hint="eastAsia" w:ascii="宋体" w:hAnsi="宋体" w:eastAsia="宋体" w:cs="宋体"/>
                <w:color w:val="000000"/>
                <w:kern w:val="0"/>
                <w:sz w:val="20"/>
                <w:szCs w:val="21"/>
              </w:rPr>
            </w:pPr>
          </w:p>
        </w:tc>
      </w:tr>
    </w:tbl>
    <w:p w14:paraId="600F08F2">
      <w:pPr>
        <w:rPr>
          <w:rFonts w:hint="eastAsia" w:ascii="宋体" w:hAnsi="宋体" w:eastAsia="宋体" w:cs="宋体"/>
          <w:color w:val="000000"/>
          <w:szCs w:val="21"/>
        </w:rPr>
      </w:pPr>
    </w:p>
    <w:p w14:paraId="2B3C2F44">
      <w:pPr>
        <w:spacing w:line="440" w:lineRule="exact"/>
        <w:jc w:val="both"/>
        <w:rPr>
          <w:rFonts w:hint="eastAsia" w:ascii="宋体" w:hAnsi="宋体" w:eastAsia="宋体" w:cs="宋体"/>
          <w:b/>
          <w:bCs/>
          <w:color w:val="000000"/>
          <w:sz w:val="28"/>
          <w:szCs w:val="28"/>
        </w:rPr>
      </w:pPr>
    </w:p>
    <w:p w14:paraId="74A47EA5">
      <w:pPr>
        <w:spacing w:line="440" w:lineRule="exact"/>
        <w:jc w:val="both"/>
        <w:rPr>
          <w:rFonts w:hint="eastAsia" w:ascii="宋体" w:hAnsi="宋体" w:eastAsia="宋体" w:cs="宋体"/>
          <w:b/>
          <w:bCs/>
          <w:color w:val="000000"/>
          <w:sz w:val="28"/>
          <w:szCs w:val="28"/>
        </w:rPr>
      </w:pPr>
    </w:p>
    <w:p w14:paraId="7F6F4ED7">
      <w:pPr>
        <w:spacing w:line="440" w:lineRule="exact"/>
        <w:jc w:val="both"/>
        <w:rPr>
          <w:rFonts w:hint="eastAsia" w:ascii="宋体" w:hAnsi="宋体" w:eastAsia="宋体" w:cs="宋体"/>
          <w:b/>
          <w:bCs/>
          <w:color w:val="000000"/>
          <w:sz w:val="28"/>
          <w:szCs w:val="28"/>
        </w:rPr>
      </w:pPr>
    </w:p>
    <w:p w14:paraId="68514CA3">
      <w:pPr>
        <w:spacing w:line="440" w:lineRule="exact"/>
        <w:jc w:val="both"/>
        <w:rPr>
          <w:rFonts w:hint="eastAsia" w:ascii="宋体" w:hAnsi="宋体" w:eastAsia="宋体" w:cs="宋体"/>
          <w:b/>
          <w:bCs/>
          <w:color w:val="000000"/>
          <w:sz w:val="28"/>
          <w:szCs w:val="28"/>
        </w:rPr>
      </w:pPr>
    </w:p>
    <w:p w14:paraId="163E2B7C">
      <w:pPr>
        <w:spacing w:line="440" w:lineRule="exact"/>
        <w:jc w:val="both"/>
        <w:rPr>
          <w:rFonts w:hint="eastAsia" w:ascii="宋体" w:hAnsi="宋体" w:eastAsia="宋体" w:cs="宋体"/>
          <w:b/>
          <w:bCs/>
          <w:color w:val="000000"/>
          <w:sz w:val="28"/>
          <w:szCs w:val="28"/>
        </w:rPr>
      </w:pPr>
    </w:p>
    <w:p w14:paraId="1CE48E27">
      <w:pPr>
        <w:spacing w:line="440" w:lineRule="exact"/>
        <w:jc w:val="both"/>
        <w:rPr>
          <w:rFonts w:hint="eastAsia" w:ascii="宋体" w:hAnsi="宋体" w:eastAsia="宋体" w:cs="宋体"/>
          <w:b/>
          <w:bCs/>
          <w:color w:val="000000"/>
          <w:sz w:val="28"/>
          <w:szCs w:val="28"/>
        </w:rPr>
      </w:pPr>
    </w:p>
    <w:p w14:paraId="59205C6A">
      <w:pPr>
        <w:spacing w:line="440" w:lineRule="exact"/>
        <w:jc w:val="both"/>
        <w:rPr>
          <w:rFonts w:hint="eastAsia" w:ascii="宋体" w:hAnsi="宋体" w:eastAsia="宋体" w:cs="宋体"/>
          <w:b/>
          <w:bCs/>
          <w:color w:val="000000"/>
          <w:sz w:val="28"/>
          <w:szCs w:val="28"/>
        </w:rPr>
      </w:pPr>
    </w:p>
    <w:p w14:paraId="7E6956B2">
      <w:pPr>
        <w:spacing w:line="440" w:lineRule="exact"/>
        <w:jc w:val="both"/>
        <w:rPr>
          <w:rFonts w:hint="eastAsia" w:ascii="宋体" w:hAnsi="宋体" w:eastAsia="宋体" w:cs="宋体"/>
          <w:b/>
          <w:bCs/>
          <w:color w:val="000000"/>
          <w:sz w:val="28"/>
          <w:szCs w:val="28"/>
        </w:rPr>
      </w:pPr>
    </w:p>
    <w:p w14:paraId="5CCA68B8">
      <w:pPr>
        <w:spacing w:line="440" w:lineRule="exact"/>
        <w:jc w:val="both"/>
        <w:rPr>
          <w:rFonts w:hint="eastAsia" w:ascii="宋体" w:hAnsi="宋体" w:eastAsia="宋体" w:cs="宋体"/>
          <w:b/>
          <w:bCs/>
          <w:color w:val="000000"/>
          <w:sz w:val="28"/>
          <w:szCs w:val="28"/>
        </w:rPr>
      </w:pPr>
    </w:p>
    <w:p w14:paraId="03F63E02">
      <w:pPr>
        <w:spacing w:line="440" w:lineRule="exact"/>
        <w:jc w:val="both"/>
        <w:rPr>
          <w:rFonts w:hint="eastAsia" w:ascii="宋体" w:hAnsi="宋体" w:eastAsia="宋体" w:cs="宋体"/>
          <w:b/>
          <w:bCs/>
          <w:color w:val="000000"/>
          <w:sz w:val="28"/>
          <w:szCs w:val="28"/>
        </w:rPr>
      </w:pPr>
    </w:p>
    <w:p w14:paraId="339F867A">
      <w:pPr>
        <w:spacing w:line="440" w:lineRule="exact"/>
        <w:jc w:val="both"/>
        <w:rPr>
          <w:rFonts w:hint="eastAsia" w:ascii="宋体" w:hAnsi="宋体" w:eastAsia="宋体" w:cs="宋体"/>
          <w:b/>
          <w:bCs/>
          <w:color w:val="000000"/>
          <w:sz w:val="28"/>
          <w:szCs w:val="28"/>
        </w:rPr>
      </w:pPr>
    </w:p>
    <w:p w14:paraId="38820DB7">
      <w:pPr>
        <w:spacing w:line="440" w:lineRule="exact"/>
        <w:jc w:val="both"/>
        <w:rPr>
          <w:rFonts w:hint="eastAsia" w:ascii="宋体" w:hAnsi="宋体" w:eastAsia="宋体" w:cs="宋体"/>
          <w:b/>
          <w:color w:val="000000"/>
          <w:sz w:val="28"/>
          <w:szCs w:val="28"/>
        </w:rPr>
      </w:pPr>
      <w:r>
        <w:rPr>
          <w:rFonts w:hint="eastAsia" w:ascii="宋体" w:hAnsi="宋体" w:eastAsia="宋体" w:cs="宋体"/>
          <w:b/>
          <w:bCs/>
          <w:color w:val="000000"/>
          <w:sz w:val="28"/>
          <w:szCs w:val="28"/>
        </w:rPr>
        <w:t>附表2</w:t>
      </w:r>
      <w:r>
        <w:rPr>
          <w:rFonts w:hint="eastAsia" w:ascii="宋体" w:hAnsi="宋体" w:eastAsia="宋体" w:cs="宋体"/>
          <w:color w:val="000000"/>
          <w:szCs w:val="21"/>
        </w:rPr>
        <w:t xml:space="preserve"> </w:t>
      </w:r>
      <w:r>
        <w:rPr>
          <w:rFonts w:hint="eastAsia" w:ascii="宋体" w:hAnsi="宋体" w:eastAsia="宋体" w:cs="宋体"/>
          <w:b/>
          <w:color w:val="000000"/>
          <w:sz w:val="28"/>
          <w:szCs w:val="28"/>
        </w:rPr>
        <w:t>评审因素和标准</w:t>
      </w:r>
    </w:p>
    <w:p w14:paraId="181DB109">
      <w:pPr>
        <w:pStyle w:val="3"/>
        <w:spacing w:before="0" w:beforeAutospacing="0" w:after="0" w:afterAutospacing="0" w:line="360" w:lineRule="exact"/>
        <w:ind w:left="735" w:leftChars="350"/>
        <w:jc w:val="both"/>
        <w:rPr>
          <w:rFonts w:hint="eastAsia" w:ascii="宋体" w:hAnsi="宋体" w:eastAsia="宋体" w:cs="宋体"/>
          <w:color w:val="000000"/>
        </w:rPr>
      </w:pPr>
    </w:p>
    <w:p w14:paraId="484E5A67">
      <w:pPr>
        <w:keepNext/>
        <w:keepLines/>
        <w:widowControl w:val="0"/>
        <w:spacing w:line="360" w:lineRule="auto"/>
        <w:jc w:val="both"/>
        <w:outlineLvl w:val="1"/>
        <w:rPr>
          <w:rFonts w:hint="eastAsia" w:ascii="宋体" w:hAnsi="宋体" w:eastAsia="宋体" w:cs="宋体"/>
          <w:b/>
          <w:bCs/>
          <w:color w:val="000000"/>
          <w:kern w:val="2"/>
          <w:sz w:val="24"/>
          <w:szCs w:val="32"/>
          <w:lang w:val="en-US" w:eastAsia="zh-CN" w:bidi="ar-SA"/>
        </w:rPr>
      </w:pPr>
      <w:r>
        <w:rPr>
          <w:rFonts w:hint="eastAsia" w:ascii="宋体" w:hAnsi="宋体" w:eastAsia="宋体" w:cs="宋体"/>
          <w:b/>
          <w:bCs/>
          <w:color w:val="000000"/>
          <w:kern w:val="2"/>
          <w:sz w:val="24"/>
          <w:szCs w:val="32"/>
          <w:lang w:val="en-US" w:eastAsia="zh-CN" w:bidi="ar-SA"/>
        </w:rPr>
        <w:t>评标标准：</w:t>
      </w:r>
    </w:p>
    <w:tbl>
      <w:tblPr>
        <w:tblStyle w:val="4"/>
        <w:tblW w:w="0" w:type="auto"/>
        <w:tblInd w:w="-171"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88"/>
        <w:gridCol w:w="1418"/>
        <w:gridCol w:w="1275"/>
        <w:gridCol w:w="5387"/>
      </w:tblGrid>
      <w:tr w14:paraId="369C37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5" w:hRule="atLeast"/>
        </w:trPr>
        <w:tc>
          <w:tcPr>
            <w:tcW w:w="988" w:type="dxa"/>
            <w:tcBorders>
              <w:right w:val="single" w:color="auto" w:sz="4" w:space="0"/>
            </w:tcBorders>
            <w:noWrap w:val="0"/>
            <w:vAlign w:val="center"/>
          </w:tcPr>
          <w:p w14:paraId="19FBBB82">
            <w:pPr>
              <w:adjustRightInd w:val="0"/>
              <w:snapToGrid w:val="0"/>
              <w:spacing w:before="156" w:beforeLines="50" w:line="360" w:lineRule="auto"/>
              <w:jc w:val="center"/>
              <w:rPr>
                <w:rFonts w:hint="eastAsia" w:ascii="宋体" w:hAnsi="宋体" w:eastAsia="宋体" w:cs="宋体"/>
                <w:b/>
                <w:color w:val="000000"/>
                <w:szCs w:val="21"/>
              </w:rPr>
            </w:pPr>
            <w:r>
              <w:rPr>
                <w:rFonts w:hint="eastAsia" w:ascii="宋体" w:hAnsi="宋体" w:eastAsia="宋体" w:cs="宋体"/>
                <w:b/>
                <w:color w:val="000000"/>
                <w:szCs w:val="21"/>
              </w:rPr>
              <w:t>序号</w:t>
            </w:r>
          </w:p>
        </w:tc>
        <w:tc>
          <w:tcPr>
            <w:tcW w:w="2693" w:type="dxa"/>
            <w:gridSpan w:val="2"/>
            <w:tcBorders>
              <w:left w:val="single" w:color="auto" w:sz="4" w:space="0"/>
              <w:right w:val="single" w:color="auto" w:sz="4" w:space="0"/>
            </w:tcBorders>
            <w:noWrap w:val="0"/>
            <w:vAlign w:val="center"/>
          </w:tcPr>
          <w:p w14:paraId="0BC368C6">
            <w:pPr>
              <w:adjustRightInd w:val="0"/>
              <w:snapToGrid w:val="0"/>
              <w:spacing w:before="156" w:beforeLines="50" w:line="360" w:lineRule="auto"/>
              <w:jc w:val="center"/>
              <w:rPr>
                <w:rFonts w:hint="eastAsia" w:ascii="宋体" w:hAnsi="宋体" w:eastAsia="宋体" w:cs="宋体"/>
                <w:b/>
                <w:color w:val="000000"/>
                <w:szCs w:val="21"/>
              </w:rPr>
            </w:pPr>
            <w:r>
              <w:rPr>
                <w:rFonts w:hint="eastAsia" w:ascii="宋体" w:hAnsi="宋体" w:eastAsia="宋体" w:cs="宋体"/>
                <w:b/>
                <w:color w:val="000000"/>
                <w:szCs w:val="21"/>
              </w:rPr>
              <w:t>评标因素（权重分）</w:t>
            </w:r>
          </w:p>
        </w:tc>
        <w:tc>
          <w:tcPr>
            <w:tcW w:w="5387" w:type="dxa"/>
            <w:tcBorders>
              <w:left w:val="single" w:color="auto" w:sz="4" w:space="0"/>
            </w:tcBorders>
            <w:noWrap w:val="0"/>
            <w:vAlign w:val="center"/>
          </w:tcPr>
          <w:p w14:paraId="0D1484A8">
            <w:pPr>
              <w:adjustRightInd w:val="0"/>
              <w:snapToGrid w:val="0"/>
              <w:spacing w:before="156" w:beforeLines="50" w:line="360" w:lineRule="auto"/>
              <w:jc w:val="center"/>
              <w:rPr>
                <w:rFonts w:hint="eastAsia" w:ascii="宋体" w:hAnsi="宋体" w:eastAsia="宋体" w:cs="宋体"/>
                <w:b/>
                <w:color w:val="000000"/>
                <w:szCs w:val="21"/>
              </w:rPr>
            </w:pPr>
            <w:r>
              <w:rPr>
                <w:rFonts w:hint="eastAsia" w:ascii="宋体" w:hAnsi="宋体" w:eastAsia="宋体" w:cs="宋体"/>
                <w:b/>
                <w:color w:val="000000"/>
                <w:szCs w:val="21"/>
              </w:rPr>
              <w:t>评标标准</w:t>
            </w:r>
          </w:p>
        </w:tc>
      </w:tr>
      <w:tr w14:paraId="222DB7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036" w:hRule="atLeast"/>
        </w:trPr>
        <w:tc>
          <w:tcPr>
            <w:tcW w:w="988" w:type="dxa"/>
            <w:tcBorders>
              <w:right w:val="single" w:color="auto" w:sz="4" w:space="0"/>
            </w:tcBorders>
            <w:noWrap w:val="0"/>
            <w:vAlign w:val="center"/>
          </w:tcPr>
          <w:p w14:paraId="5712867C">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w:t>
            </w:r>
          </w:p>
        </w:tc>
        <w:tc>
          <w:tcPr>
            <w:tcW w:w="2693" w:type="dxa"/>
            <w:gridSpan w:val="2"/>
            <w:tcBorders>
              <w:left w:val="single" w:color="auto" w:sz="4" w:space="0"/>
              <w:right w:val="single" w:color="auto" w:sz="4" w:space="0"/>
            </w:tcBorders>
            <w:noWrap w:val="0"/>
            <w:vAlign w:val="center"/>
          </w:tcPr>
          <w:p w14:paraId="61F9FBFC">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价格评价</w:t>
            </w:r>
          </w:p>
          <w:p w14:paraId="5375AD1C">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15分</w:t>
            </w:r>
          </w:p>
        </w:tc>
        <w:tc>
          <w:tcPr>
            <w:tcW w:w="5387" w:type="dxa"/>
            <w:tcBorders>
              <w:left w:val="single" w:color="auto" w:sz="4" w:space="0"/>
            </w:tcBorders>
            <w:noWrap w:val="0"/>
            <w:vAlign w:val="center"/>
          </w:tcPr>
          <w:p w14:paraId="37230A32">
            <w:pPr>
              <w:adjustRightInd w:val="0"/>
              <w:snapToGrid w:val="0"/>
              <w:rPr>
                <w:rFonts w:hint="eastAsia" w:ascii="宋体" w:hAnsi="宋体" w:eastAsia="宋体" w:cs="宋体"/>
                <w:color w:val="000000"/>
                <w:kern w:val="0"/>
                <w:szCs w:val="21"/>
                <w:highlight w:val="none"/>
                <w:lang w:bidi="ar"/>
              </w:rPr>
            </w:pPr>
            <w:r>
              <w:rPr>
                <w:rFonts w:hint="eastAsia" w:ascii="宋体" w:hAnsi="宋体" w:eastAsia="宋体" w:cs="宋体"/>
                <w:color w:val="000000"/>
              </w:rPr>
              <w:t xml:space="preserve"> </w:t>
            </w:r>
            <w:r>
              <w:rPr>
                <w:rFonts w:hint="eastAsia" w:ascii="宋体" w:hAnsi="宋体" w:eastAsia="宋体" w:cs="宋体"/>
                <w:color w:val="000000"/>
                <w:kern w:val="0"/>
                <w:szCs w:val="21"/>
                <w:highlight w:val="none"/>
                <w:lang w:bidi="ar"/>
              </w:rPr>
              <w:t>①以经评委会一致认定满足招标文件要求且投标价格最低的投标报价为评标基准价，其价格得分计</w:t>
            </w:r>
            <w:r>
              <w:rPr>
                <w:rFonts w:hint="eastAsia" w:ascii="宋体" w:hAnsi="宋体" w:eastAsia="宋体" w:cs="宋体"/>
                <w:color w:val="000000"/>
                <w:kern w:val="0"/>
                <w:szCs w:val="21"/>
                <w:highlight w:val="none"/>
                <w:lang w:val="en-US" w:eastAsia="zh-CN" w:bidi="ar"/>
              </w:rPr>
              <w:t>15</w:t>
            </w:r>
            <w:r>
              <w:rPr>
                <w:rFonts w:hint="eastAsia" w:ascii="宋体" w:hAnsi="宋体" w:eastAsia="宋体" w:cs="宋体"/>
                <w:color w:val="000000"/>
                <w:kern w:val="0"/>
                <w:szCs w:val="21"/>
                <w:highlight w:val="none"/>
                <w:lang w:bidi="ar"/>
              </w:rPr>
              <w:t>分。其他投标人的价格得分统一按公式计算：报价得分=评标基准价÷投标报价×价格权重。</w:t>
            </w:r>
          </w:p>
          <w:p w14:paraId="7C3219A9">
            <w:pPr>
              <w:widowControl w:val="0"/>
              <w:autoSpaceDE w:val="0"/>
              <w:autoSpaceDN w:val="0"/>
              <w:adjustRightInd w:val="0"/>
              <w:rPr>
                <w:rFonts w:hint="eastAsia" w:ascii="宋体" w:hAnsi="宋体" w:eastAsia="宋体" w:cs="宋体"/>
                <w:color w:val="000000"/>
              </w:rPr>
            </w:pPr>
            <w:r>
              <w:rPr>
                <w:rFonts w:hint="eastAsia" w:ascii="宋体" w:hAnsi="宋体" w:eastAsia="宋体" w:cs="宋体"/>
                <w:color w:val="000000"/>
                <w:kern w:val="0"/>
                <w:sz w:val="21"/>
                <w:szCs w:val="21"/>
                <w:highlight w:val="none"/>
                <w:lang w:val="en-US" w:eastAsia="zh-CN" w:bidi="ar"/>
              </w:rPr>
              <w:t>②根据“财政部令第87号”第六十条的规定“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tc>
      </w:tr>
      <w:tr w14:paraId="4C98E0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404" w:hRule="atLeast"/>
        </w:trPr>
        <w:tc>
          <w:tcPr>
            <w:tcW w:w="988" w:type="dxa"/>
            <w:vMerge w:val="restart"/>
            <w:tcBorders>
              <w:right w:val="single" w:color="auto" w:sz="4" w:space="0"/>
            </w:tcBorders>
            <w:noWrap w:val="0"/>
            <w:vAlign w:val="center"/>
          </w:tcPr>
          <w:p w14:paraId="2939FD10">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2</w:t>
            </w:r>
          </w:p>
        </w:tc>
        <w:tc>
          <w:tcPr>
            <w:tcW w:w="1418" w:type="dxa"/>
            <w:vMerge w:val="restart"/>
            <w:tcBorders>
              <w:left w:val="single" w:color="auto" w:sz="4" w:space="0"/>
            </w:tcBorders>
            <w:noWrap w:val="0"/>
            <w:vAlign w:val="center"/>
          </w:tcPr>
          <w:p w14:paraId="46120FD8">
            <w:pPr>
              <w:adjustRightInd w:val="0"/>
              <w:snapToGrid w:val="0"/>
              <w:spacing w:before="156" w:beforeLines="50" w:line="360" w:lineRule="auto"/>
              <w:jc w:val="center"/>
              <w:rPr>
                <w:rFonts w:hint="eastAsia" w:ascii="宋体" w:hAnsi="宋体" w:eastAsia="宋体" w:cs="宋体"/>
                <w:color w:val="000000"/>
              </w:rPr>
            </w:pPr>
            <w:r>
              <w:rPr>
                <w:rFonts w:hint="eastAsia" w:ascii="宋体" w:hAnsi="宋体" w:eastAsia="宋体" w:cs="宋体"/>
                <w:color w:val="000000"/>
              </w:rPr>
              <w:t>技术评价</w:t>
            </w:r>
          </w:p>
          <w:p w14:paraId="40310B8B">
            <w:pPr>
              <w:pStyle w:val="7"/>
              <w:ind w:firstLine="210" w:firstLineChars="100"/>
              <w:rPr>
                <w:rFonts w:hint="eastAsia" w:ascii="宋体" w:hAnsi="宋体" w:eastAsia="宋体" w:cs="宋体"/>
                <w:color w:val="000000"/>
              </w:rPr>
            </w:pPr>
            <w:r>
              <w:rPr>
                <w:rFonts w:hint="eastAsia" w:ascii="宋体" w:hAnsi="宋体" w:eastAsia="宋体" w:cs="宋体"/>
                <w:color w:val="000000"/>
                <w:kern w:val="2"/>
                <w:sz w:val="21"/>
              </w:rPr>
              <w:t>（</w:t>
            </w:r>
            <w:r>
              <w:rPr>
                <w:rFonts w:hint="eastAsia" w:ascii="宋体" w:hAnsi="宋体" w:eastAsia="宋体" w:cs="宋体"/>
                <w:color w:val="000000"/>
                <w:kern w:val="2"/>
                <w:sz w:val="21"/>
                <w:lang w:val="en-US" w:eastAsia="zh-CN"/>
              </w:rPr>
              <w:t>62</w:t>
            </w:r>
            <w:r>
              <w:rPr>
                <w:rFonts w:hint="eastAsia" w:ascii="宋体" w:hAnsi="宋体" w:eastAsia="宋体" w:cs="宋体"/>
                <w:color w:val="000000"/>
                <w:kern w:val="2"/>
                <w:sz w:val="21"/>
              </w:rPr>
              <w:t>分）</w:t>
            </w:r>
          </w:p>
        </w:tc>
        <w:tc>
          <w:tcPr>
            <w:tcW w:w="1275" w:type="dxa"/>
            <w:tcBorders>
              <w:left w:val="single" w:color="auto" w:sz="4" w:space="0"/>
            </w:tcBorders>
            <w:noWrap w:val="0"/>
            <w:vAlign w:val="center"/>
          </w:tcPr>
          <w:p w14:paraId="4FCDD88A">
            <w:pPr>
              <w:jc w:val="center"/>
              <w:rPr>
                <w:rFonts w:hint="eastAsia" w:ascii="宋体" w:hAnsi="宋体" w:eastAsia="宋体" w:cs="宋体"/>
                <w:color w:val="000000"/>
                <w:szCs w:val="21"/>
              </w:rPr>
            </w:pPr>
            <w:r>
              <w:rPr>
                <w:rFonts w:hint="eastAsia" w:ascii="宋体" w:hAnsi="宋体" w:eastAsia="宋体" w:cs="宋体"/>
                <w:color w:val="000000"/>
                <w:szCs w:val="21"/>
              </w:rPr>
              <w:t>整体服务方案（</w:t>
            </w:r>
            <w:r>
              <w:rPr>
                <w:rFonts w:hint="eastAsia" w:ascii="宋体" w:hAnsi="宋体" w:eastAsia="宋体" w:cs="宋体"/>
                <w:color w:val="000000"/>
                <w:szCs w:val="21"/>
                <w:lang w:val="en-US" w:eastAsia="zh-CN"/>
              </w:rPr>
              <w:t>18</w:t>
            </w:r>
            <w:r>
              <w:rPr>
                <w:rFonts w:hint="eastAsia" w:ascii="宋体" w:hAnsi="宋体" w:eastAsia="宋体" w:cs="宋体"/>
                <w:color w:val="000000"/>
                <w:szCs w:val="21"/>
              </w:rPr>
              <w:t>分）</w:t>
            </w:r>
          </w:p>
        </w:tc>
        <w:tc>
          <w:tcPr>
            <w:tcW w:w="5387" w:type="dxa"/>
            <w:noWrap w:val="0"/>
            <w:vAlign w:val="center"/>
          </w:tcPr>
          <w:p w14:paraId="7827218E">
            <w:pPr>
              <w:pStyle w:val="7"/>
              <w:spacing w:line="240" w:lineRule="auto"/>
              <w:ind w:firstLine="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lang w:val="en-US" w:eastAsia="zh-CN"/>
              </w:rPr>
              <w:t>依据投标人针对本项目量身编制的整体服务实施方案综合评审，评审核查六大核心板块：</w:t>
            </w:r>
          </w:p>
          <w:p w14:paraId="3DD2AB32">
            <w:pPr>
              <w:pStyle w:val="7"/>
              <w:spacing w:line="240" w:lineRule="auto"/>
              <w:ind w:firstLine="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lang w:val="en-US" w:eastAsia="zh-CN"/>
              </w:rPr>
              <w:t>①项目专属服务团队配置与岗位职责划分、②全周期统筹排期安排、③食材分拣配送一体化落地管控、④日常标准化作业流程、⑤供需双方常态化对接沟通机制、⑥项目全过程优化提升措施。</w:t>
            </w:r>
          </w:p>
          <w:p w14:paraId="056989FF">
            <w:pPr>
              <w:pStyle w:val="7"/>
              <w:spacing w:line="240" w:lineRule="auto"/>
              <w:ind w:firstLine="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lang w:val="en-US" w:eastAsia="zh-CN"/>
              </w:rPr>
              <w:t>包括以上全部内容且结合本项目实际阐述详实、清晰合理、可操作性强的计18分；与本项目无关、不合理或缺项漏项的扣3分；不详细、不完整的每处扣2分，扣完为止，未提供的不计分。</w:t>
            </w:r>
          </w:p>
        </w:tc>
      </w:tr>
      <w:tr w14:paraId="7A2FFD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88" w:type="dxa"/>
            <w:vMerge w:val="continue"/>
            <w:tcBorders>
              <w:right w:val="single" w:color="auto" w:sz="4" w:space="0"/>
            </w:tcBorders>
            <w:noWrap w:val="0"/>
            <w:vAlign w:val="center"/>
          </w:tcPr>
          <w:p w14:paraId="67E5F6FE">
            <w:pPr>
              <w:adjustRightInd w:val="0"/>
              <w:snapToGrid w:val="0"/>
              <w:spacing w:before="156" w:beforeLines="50" w:line="360" w:lineRule="auto"/>
              <w:jc w:val="center"/>
              <w:rPr>
                <w:rFonts w:hint="eastAsia" w:ascii="宋体" w:hAnsi="宋体" w:eastAsia="宋体" w:cs="宋体"/>
                <w:color w:val="000000"/>
                <w:szCs w:val="21"/>
              </w:rPr>
            </w:pPr>
          </w:p>
        </w:tc>
        <w:tc>
          <w:tcPr>
            <w:tcW w:w="1418" w:type="dxa"/>
            <w:vMerge w:val="continue"/>
            <w:tcBorders>
              <w:left w:val="single" w:color="auto" w:sz="4" w:space="0"/>
            </w:tcBorders>
            <w:noWrap w:val="0"/>
            <w:vAlign w:val="center"/>
          </w:tcPr>
          <w:p w14:paraId="67803CAF">
            <w:pPr>
              <w:adjustRightInd w:val="0"/>
              <w:snapToGrid w:val="0"/>
              <w:spacing w:before="156" w:beforeLines="50" w:line="360" w:lineRule="auto"/>
              <w:jc w:val="center"/>
              <w:rPr>
                <w:rFonts w:hint="eastAsia" w:ascii="宋体" w:hAnsi="宋体" w:eastAsia="宋体" w:cs="宋体"/>
                <w:color w:val="000000"/>
                <w:szCs w:val="21"/>
              </w:rPr>
            </w:pPr>
          </w:p>
        </w:tc>
        <w:tc>
          <w:tcPr>
            <w:tcW w:w="1275" w:type="dxa"/>
            <w:tcBorders>
              <w:left w:val="single" w:color="auto" w:sz="4" w:space="0"/>
            </w:tcBorders>
            <w:noWrap w:val="0"/>
            <w:vAlign w:val="center"/>
          </w:tcPr>
          <w:p w14:paraId="4ACCD09A">
            <w:pPr>
              <w:adjustRightInd w:val="0"/>
              <w:snapToGrid w:val="0"/>
              <w:spacing w:before="156" w:beforeLines="50" w:line="360" w:lineRule="auto"/>
              <w:jc w:val="center"/>
              <w:rPr>
                <w:rFonts w:hint="eastAsia" w:ascii="宋体" w:hAnsi="宋体" w:eastAsia="宋体" w:cs="宋体"/>
                <w:color w:val="000000"/>
              </w:rPr>
            </w:pPr>
            <w:r>
              <w:rPr>
                <w:rFonts w:hint="eastAsia" w:ascii="宋体" w:hAnsi="宋体" w:eastAsia="宋体" w:cs="宋体"/>
                <w:color w:val="000000"/>
                <w:szCs w:val="21"/>
              </w:rPr>
              <w:t>食</w:t>
            </w:r>
            <w:r>
              <w:rPr>
                <w:rFonts w:hint="eastAsia" w:ascii="宋体" w:hAnsi="宋体" w:eastAsia="宋体" w:cs="宋体"/>
                <w:color w:val="000000"/>
                <w:szCs w:val="21"/>
                <w:lang w:eastAsia="zh-CN"/>
              </w:rPr>
              <w:t>材</w:t>
            </w:r>
            <w:r>
              <w:rPr>
                <w:rFonts w:hint="eastAsia" w:ascii="宋体" w:hAnsi="宋体" w:eastAsia="宋体" w:cs="宋体"/>
                <w:color w:val="000000"/>
                <w:szCs w:val="21"/>
              </w:rPr>
              <w:t>质量安全保障方案（</w:t>
            </w:r>
            <w:r>
              <w:rPr>
                <w:rFonts w:hint="eastAsia" w:ascii="宋体" w:hAnsi="宋体" w:eastAsia="宋体" w:cs="宋体"/>
                <w:color w:val="000000"/>
                <w:szCs w:val="21"/>
                <w:lang w:val="en-US" w:eastAsia="zh-CN"/>
              </w:rPr>
              <w:t>18</w:t>
            </w:r>
            <w:r>
              <w:rPr>
                <w:rFonts w:hint="eastAsia" w:ascii="宋体" w:hAnsi="宋体" w:eastAsia="宋体" w:cs="宋体"/>
                <w:color w:val="000000"/>
                <w:szCs w:val="21"/>
              </w:rPr>
              <w:t>分）</w:t>
            </w:r>
          </w:p>
        </w:tc>
        <w:tc>
          <w:tcPr>
            <w:tcW w:w="5387" w:type="dxa"/>
            <w:noWrap w:val="0"/>
            <w:vAlign w:val="center"/>
          </w:tcPr>
          <w:p w14:paraId="7E0B50EE">
            <w:pPr>
              <w:snapToGrid w:val="0"/>
              <w:jc w:val="left"/>
              <w:rPr>
                <w:rFonts w:hint="eastAsia" w:ascii="宋体" w:hAnsi="宋体" w:eastAsia="宋体" w:cs="宋体"/>
                <w:color w:val="000000"/>
                <w:szCs w:val="21"/>
              </w:rPr>
            </w:pPr>
            <w:r>
              <w:rPr>
                <w:rFonts w:hint="eastAsia" w:ascii="宋体" w:hAnsi="宋体" w:eastAsia="宋体" w:cs="宋体"/>
                <w:color w:val="000000"/>
                <w:szCs w:val="21"/>
              </w:rPr>
              <w:t>根据投标人针对本项目提供的食品质量安全保障方案，包括但不限于：</w:t>
            </w:r>
          </w:p>
          <w:p w14:paraId="06D48AE6">
            <w:pPr>
              <w:snapToGrid w:val="0"/>
              <w:jc w:val="left"/>
              <w:rPr>
                <w:rFonts w:hint="eastAsia" w:ascii="宋体" w:hAnsi="宋体" w:eastAsia="宋体" w:cs="宋体"/>
                <w:color w:val="000000"/>
                <w:szCs w:val="21"/>
              </w:rPr>
            </w:pPr>
            <w:r>
              <w:rPr>
                <w:rFonts w:hint="eastAsia" w:ascii="宋体" w:hAnsi="宋体" w:eastAsia="宋体" w:cs="宋体"/>
                <w:color w:val="000000"/>
                <w:szCs w:val="21"/>
              </w:rPr>
              <w:t>①食</w:t>
            </w:r>
            <w:r>
              <w:rPr>
                <w:rFonts w:hint="eastAsia" w:ascii="宋体" w:hAnsi="宋体" w:eastAsia="宋体" w:cs="宋体"/>
                <w:color w:val="000000"/>
                <w:szCs w:val="21"/>
                <w:lang w:eastAsia="zh-CN"/>
              </w:rPr>
              <w:t>材</w:t>
            </w:r>
            <w:r>
              <w:rPr>
                <w:rFonts w:hint="eastAsia" w:ascii="宋体" w:hAnsi="宋体" w:eastAsia="宋体" w:cs="宋体"/>
                <w:color w:val="000000"/>
                <w:szCs w:val="21"/>
              </w:rPr>
              <w:t>质量保证措施、②原材料保管、③食</w:t>
            </w:r>
            <w:r>
              <w:rPr>
                <w:rFonts w:hint="eastAsia" w:ascii="宋体" w:hAnsi="宋体" w:eastAsia="宋体" w:cs="宋体"/>
                <w:color w:val="000000"/>
                <w:szCs w:val="21"/>
                <w:lang w:eastAsia="zh-CN"/>
              </w:rPr>
              <w:t>材</w:t>
            </w:r>
            <w:r>
              <w:rPr>
                <w:rFonts w:hint="eastAsia" w:ascii="宋体" w:hAnsi="宋体" w:eastAsia="宋体" w:cs="宋体"/>
                <w:color w:val="000000"/>
                <w:szCs w:val="21"/>
              </w:rPr>
              <w:t>卫生防护、④食</w:t>
            </w:r>
            <w:r>
              <w:rPr>
                <w:rFonts w:hint="eastAsia" w:ascii="宋体" w:hAnsi="宋体" w:eastAsia="宋体" w:cs="宋体"/>
                <w:color w:val="000000"/>
                <w:szCs w:val="21"/>
                <w:lang w:eastAsia="zh-CN"/>
              </w:rPr>
              <w:t>材</w:t>
            </w:r>
            <w:r>
              <w:rPr>
                <w:rFonts w:hint="eastAsia" w:ascii="宋体" w:hAnsi="宋体" w:eastAsia="宋体" w:cs="宋体"/>
                <w:color w:val="000000"/>
                <w:szCs w:val="21"/>
              </w:rPr>
              <w:t>退换流程、⑤食</w:t>
            </w:r>
            <w:r>
              <w:rPr>
                <w:rFonts w:hint="eastAsia" w:ascii="宋体" w:hAnsi="宋体" w:eastAsia="宋体" w:cs="宋体"/>
                <w:color w:val="000000"/>
                <w:szCs w:val="21"/>
                <w:lang w:eastAsia="zh-CN"/>
              </w:rPr>
              <w:t>材</w:t>
            </w:r>
            <w:r>
              <w:rPr>
                <w:rFonts w:hint="eastAsia" w:ascii="宋体" w:hAnsi="宋体" w:eastAsia="宋体" w:cs="宋体"/>
                <w:color w:val="000000"/>
                <w:szCs w:val="21"/>
              </w:rPr>
              <w:t>安全保证措施、⑥食</w:t>
            </w:r>
            <w:r>
              <w:rPr>
                <w:rFonts w:hint="eastAsia" w:ascii="宋体" w:hAnsi="宋体" w:eastAsia="宋体" w:cs="宋体"/>
                <w:color w:val="000000"/>
                <w:szCs w:val="21"/>
                <w:lang w:eastAsia="zh-CN"/>
              </w:rPr>
              <w:t>材</w:t>
            </w:r>
            <w:r>
              <w:rPr>
                <w:rFonts w:hint="eastAsia" w:ascii="宋体" w:hAnsi="宋体" w:eastAsia="宋体" w:cs="宋体"/>
                <w:color w:val="000000"/>
                <w:szCs w:val="21"/>
              </w:rPr>
              <w:t>分类措施等进行综合评分。按以下量化指标和对应分值进行评审计分：</w:t>
            </w:r>
          </w:p>
          <w:p w14:paraId="3400C97C">
            <w:pPr>
              <w:snapToGrid w:val="0"/>
              <w:jc w:val="left"/>
              <w:rPr>
                <w:rFonts w:hint="eastAsia" w:ascii="宋体" w:hAnsi="宋体" w:eastAsia="宋体" w:cs="宋体"/>
                <w:color w:val="000000"/>
                <w:szCs w:val="21"/>
                <w:lang w:eastAsia="zh-CN"/>
              </w:rPr>
            </w:pPr>
            <w:r>
              <w:rPr>
                <w:rFonts w:hint="eastAsia" w:ascii="宋体" w:hAnsi="宋体" w:eastAsia="宋体" w:cs="宋体"/>
                <w:color w:val="000000"/>
                <w:szCs w:val="21"/>
              </w:rPr>
              <w:t>包括以上全部内容且结合本项目实际阐述详实、清晰合理、可操作性强的计</w:t>
            </w:r>
            <w:r>
              <w:rPr>
                <w:rFonts w:hint="eastAsia" w:ascii="宋体" w:hAnsi="宋体" w:eastAsia="宋体" w:cs="宋体"/>
                <w:color w:val="000000"/>
                <w:szCs w:val="21"/>
                <w:lang w:val="en-US" w:eastAsia="zh-CN"/>
              </w:rPr>
              <w:t>18</w:t>
            </w:r>
            <w:r>
              <w:rPr>
                <w:rFonts w:hint="eastAsia" w:ascii="宋体" w:hAnsi="宋体" w:eastAsia="宋体" w:cs="宋体"/>
                <w:color w:val="000000"/>
                <w:szCs w:val="21"/>
              </w:rPr>
              <w:t>分；与本项目无关、不合理或缺项漏项的扣</w:t>
            </w:r>
            <w:r>
              <w:rPr>
                <w:rFonts w:hint="eastAsia" w:ascii="宋体" w:hAnsi="宋体" w:eastAsia="宋体" w:cs="宋体"/>
                <w:color w:val="000000"/>
                <w:szCs w:val="21"/>
                <w:lang w:val="en-US" w:eastAsia="zh-CN"/>
              </w:rPr>
              <w:t>3</w:t>
            </w:r>
            <w:r>
              <w:rPr>
                <w:rFonts w:hint="eastAsia" w:ascii="宋体" w:hAnsi="宋体" w:eastAsia="宋体" w:cs="宋体"/>
                <w:color w:val="000000"/>
                <w:szCs w:val="21"/>
              </w:rPr>
              <w:t>分；不详细、不完整的每处扣2分，扣完为止，未提供的不计分</w:t>
            </w:r>
            <w:r>
              <w:rPr>
                <w:rFonts w:hint="eastAsia" w:ascii="宋体" w:hAnsi="宋体" w:eastAsia="宋体" w:cs="宋体"/>
                <w:color w:val="000000"/>
                <w:szCs w:val="21"/>
                <w:lang w:eastAsia="zh-CN"/>
              </w:rPr>
              <w:t>。</w:t>
            </w:r>
          </w:p>
        </w:tc>
      </w:tr>
      <w:tr w14:paraId="0B9921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299" w:hRule="atLeast"/>
        </w:trPr>
        <w:tc>
          <w:tcPr>
            <w:tcW w:w="988" w:type="dxa"/>
            <w:vMerge w:val="continue"/>
            <w:tcBorders>
              <w:right w:val="single" w:color="auto" w:sz="4" w:space="0"/>
            </w:tcBorders>
            <w:noWrap w:val="0"/>
            <w:vAlign w:val="center"/>
          </w:tcPr>
          <w:p w14:paraId="5085F955">
            <w:pPr>
              <w:adjustRightInd w:val="0"/>
              <w:snapToGrid w:val="0"/>
              <w:spacing w:before="156" w:beforeLines="50" w:line="360" w:lineRule="auto"/>
              <w:jc w:val="center"/>
              <w:rPr>
                <w:rFonts w:hint="eastAsia" w:ascii="宋体" w:hAnsi="宋体" w:eastAsia="宋体" w:cs="宋体"/>
                <w:color w:val="000000"/>
                <w:szCs w:val="21"/>
              </w:rPr>
            </w:pPr>
          </w:p>
        </w:tc>
        <w:tc>
          <w:tcPr>
            <w:tcW w:w="1418" w:type="dxa"/>
            <w:vMerge w:val="continue"/>
            <w:tcBorders>
              <w:left w:val="single" w:color="auto" w:sz="4" w:space="0"/>
            </w:tcBorders>
            <w:noWrap w:val="0"/>
            <w:vAlign w:val="center"/>
          </w:tcPr>
          <w:p w14:paraId="08AA2194">
            <w:pPr>
              <w:adjustRightInd w:val="0"/>
              <w:snapToGrid w:val="0"/>
              <w:spacing w:before="156" w:beforeLines="50" w:line="360" w:lineRule="auto"/>
              <w:jc w:val="center"/>
              <w:rPr>
                <w:rFonts w:hint="eastAsia" w:ascii="宋体" w:hAnsi="宋体" w:eastAsia="宋体" w:cs="宋体"/>
                <w:color w:val="000000"/>
                <w:szCs w:val="21"/>
              </w:rPr>
            </w:pPr>
          </w:p>
        </w:tc>
        <w:tc>
          <w:tcPr>
            <w:tcW w:w="1275" w:type="dxa"/>
            <w:tcBorders>
              <w:left w:val="single" w:color="auto" w:sz="4" w:space="0"/>
            </w:tcBorders>
            <w:noWrap w:val="0"/>
            <w:vAlign w:val="center"/>
          </w:tcPr>
          <w:p w14:paraId="6443ECF9">
            <w:pPr>
              <w:pStyle w:val="7"/>
              <w:ind w:firstLine="0"/>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应急保供方案（</w:t>
            </w:r>
            <w:r>
              <w:rPr>
                <w:rFonts w:hint="eastAsia" w:ascii="宋体" w:hAnsi="宋体" w:eastAsia="宋体" w:cs="宋体"/>
                <w:color w:val="000000"/>
                <w:kern w:val="2"/>
                <w:sz w:val="21"/>
                <w:szCs w:val="21"/>
                <w:lang w:val="en-US" w:eastAsia="zh-CN"/>
              </w:rPr>
              <w:t>14</w:t>
            </w:r>
            <w:r>
              <w:rPr>
                <w:rFonts w:hint="eastAsia" w:ascii="宋体" w:hAnsi="宋体" w:eastAsia="宋体" w:cs="宋体"/>
                <w:color w:val="000000"/>
                <w:kern w:val="2"/>
                <w:sz w:val="21"/>
                <w:szCs w:val="21"/>
              </w:rPr>
              <w:t>分）</w:t>
            </w:r>
          </w:p>
        </w:tc>
        <w:tc>
          <w:tcPr>
            <w:tcW w:w="5387" w:type="dxa"/>
            <w:noWrap w:val="0"/>
            <w:vAlign w:val="center"/>
          </w:tcPr>
          <w:p w14:paraId="325ABC2E">
            <w:pPr>
              <w:adjustRightInd w:val="0"/>
              <w:snapToGrid w:val="0"/>
              <w:rPr>
                <w:rFonts w:hint="eastAsia" w:ascii="宋体" w:hAnsi="宋体" w:eastAsia="宋体" w:cs="宋体"/>
                <w:color w:val="000000"/>
                <w:szCs w:val="21"/>
              </w:rPr>
            </w:pPr>
            <w:r>
              <w:rPr>
                <w:rFonts w:hint="eastAsia" w:ascii="宋体" w:hAnsi="宋体" w:eastAsia="宋体" w:cs="宋体"/>
                <w:color w:val="000000"/>
                <w:szCs w:val="21"/>
              </w:rPr>
              <w:t>根据投标人针对本项目提供的应急事件处理方案，包括但不限于：</w:t>
            </w:r>
          </w:p>
          <w:p w14:paraId="16B814CB">
            <w:pPr>
              <w:adjustRightInd w:val="0"/>
              <w:snapToGrid w:val="0"/>
              <w:rPr>
                <w:rFonts w:hint="eastAsia" w:ascii="宋体" w:hAnsi="宋体" w:eastAsia="宋体" w:cs="宋体"/>
                <w:color w:val="000000"/>
                <w:szCs w:val="21"/>
              </w:rPr>
            </w:pPr>
            <w:r>
              <w:rPr>
                <w:rFonts w:hint="eastAsia" w:ascii="宋体" w:hAnsi="宋体" w:eastAsia="宋体" w:cs="宋体"/>
                <w:color w:val="000000"/>
                <w:szCs w:val="21"/>
              </w:rPr>
              <w:t>①应急预案、②风险评估与防范措施、③应急响应流程、④应急处理操作、⑤应急演练与培训、⑥事后处理与恢复、⑦特殊应急处理方案等进行综合评分。按以下量化指标和对应分值进行评审计分：</w:t>
            </w:r>
          </w:p>
          <w:p w14:paraId="7BA363F2">
            <w:pPr>
              <w:adjustRightInd w:val="0"/>
              <w:snapToGrid w:val="0"/>
              <w:rPr>
                <w:rFonts w:hint="eastAsia" w:ascii="宋体" w:hAnsi="宋体" w:eastAsia="宋体" w:cs="宋体"/>
                <w:color w:val="000000"/>
                <w:szCs w:val="21"/>
              </w:rPr>
            </w:pPr>
            <w:r>
              <w:rPr>
                <w:rFonts w:hint="eastAsia" w:ascii="宋体" w:hAnsi="宋体" w:eastAsia="宋体" w:cs="宋体"/>
                <w:color w:val="000000"/>
                <w:szCs w:val="21"/>
              </w:rPr>
              <w:t>量化指标：规范化程度高、内容完整、科学合理、可操作性及针对性强；</w:t>
            </w:r>
          </w:p>
          <w:p w14:paraId="6C92BA26">
            <w:pPr>
              <w:adjustRightInd w:val="0"/>
              <w:snapToGrid w:val="0"/>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包括</w:t>
            </w:r>
            <w:r>
              <w:rPr>
                <w:rFonts w:hint="eastAsia" w:ascii="宋体" w:hAnsi="宋体" w:eastAsia="宋体" w:cs="宋体"/>
                <w:color w:val="000000"/>
                <w:szCs w:val="21"/>
              </w:rPr>
              <w:t>以上全部内容且结合本项目实际阐述详实、清晰合理、可操作性强的计</w:t>
            </w:r>
            <w:r>
              <w:rPr>
                <w:rFonts w:hint="eastAsia" w:ascii="宋体" w:hAnsi="宋体" w:eastAsia="宋体" w:cs="宋体"/>
                <w:color w:val="000000"/>
                <w:szCs w:val="21"/>
                <w:lang w:val="en-US" w:eastAsia="zh-CN"/>
              </w:rPr>
              <w:t>14</w:t>
            </w:r>
            <w:r>
              <w:rPr>
                <w:rFonts w:hint="eastAsia" w:ascii="宋体" w:hAnsi="宋体" w:eastAsia="宋体" w:cs="宋体"/>
                <w:color w:val="000000"/>
                <w:szCs w:val="21"/>
              </w:rPr>
              <w:t>分；与本项目无关、不合理或缺项漏项的扣</w:t>
            </w:r>
            <w:r>
              <w:rPr>
                <w:rFonts w:hint="eastAsia" w:ascii="宋体" w:hAnsi="宋体" w:eastAsia="宋体" w:cs="宋体"/>
                <w:color w:val="000000"/>
                <w:szCs w:val="21"/>
                <w:lang w:val="en-US" w:eastAsia="zh-CN"/>
              </w:rPr>
              <w:t>2</w:t>
            </w:r>
            <w:r>
              <w:rPr>
                <w:rFonts w:hint="eastAsia" w:ascii="宋体" w:hAnsi="宋体" w:eastAsia="宋体" w:cs="宋体"/>
                <w:color w:val="000000"/>
                <w:szCs w:val="21"/>
              </w:rPr>
              <w:t>分；不详细、不完整的每处扣</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分，扣完为止，未提供的不计分</w:t>
            </w:r>
            <w:r>
              <w:rPr>
                <w:rFonts w:hint="eastAsia" w:ascii="宋体" w:hAnsi="宋体" w:eastAsia="宋体" w:cs="宋体"/>
                <w:color w:val="000000"/>
                <w:szCs w:val="21"/>
                <w:lang w:eastAsia="zh-CN"/>
              </w:rPr>
              <w:t>。</w:t>
            </w:r>
          </w:p>
        </w:tc>
      </w:tr>
      <w:tr w14:paraId="55BAAAD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3" w:hRule="atLeast"/>
        </w:trPr>
        <w:tc>
          <w:tcPr>
            <w:tcW w:w="988" w:type="dxa"/>
            <w:vMerge w:val="continue"/>
            <w:tcBorders>
              <w:right w:val="single" w:color="auto" w:sz="4" w:space="0"/>
            </w:tcBorders>
            <w:noWrap w:val="0"/>
            <w:vAlign w:val="center"/>
          </w:tcPr>
          <w:p w14:paraId="3B73AD5B">
            <w:pPr>
              <w:adjustRightInd w:val="0"/>
              <w:snapToGrid w:val="0"/>
              <w:spacing w:before="156" w:beforeLines="50" w:line="360" w:lineRule="auto"/>
              <w:jc w:val="center"/>
              <w:rPr>
                <w:rFonts w:hint="eastAsia" w:ascii="宋体" w:hAnsi="宋体" w:eastAsia="宋体" w:cs="宋体"/>
                <w:color w:val="000000"/>
                <w:szCs w:val="21"/>
              </w:rPr>
            </w:pPr>
          </w:p>
        </w:tc>
        <w:tc>
          <w:tcPr>
            <w:tcW w:w="1418" w:type="dxa"/>
            <w:vMerge w:val="continue"/>
            <w:tcBorders>
              <w:left w:val="single" w:color="auto" w:sz="4" w:space="0"/>
              <w:bottom w:val="single" w:color="auto" w:sz="4" w:space="0"/>
            </w:tcBorders>
            <w:noWrap w:val="0"/>
            <w:vAlign w:val="center"/>
          </w:tcPr>
          <w:p w14:paraId="0CC953D5">
            <w:pPr>
              <w:adjustRightInd w:val="0"/>
              <w:snapToGrid w:val="0"/>
              <w:spacing w:before="156" w:beforeLines="50" w:line="360" w:lineRule="auto"/>
              <w:jc w:val="center"/>
              <w:rPr>
                <w:rFonts w:hint="eastAsia" w:ascii="宋体" w:hAnsi="宋体" w:eastAsia="宋体" w:cs="宋体"/>
                <w:color w:val="000000"/>
                <w:szCs w:val="21"/>
              </w:rPr>
            </w:pPr>
          </w:p>
        </w:tc>
        <w:tc>
          <w:tcPr>
            <w:tcW w:w="1275" w:type="dxa"/>
            <w:tcBorders>
              <w:left w:val="single" w:color="auto" w:sz="4" w:space="0"/>
            </w:tcBorders>
            <w:noWrap w:val="0"/>
            <w:vAlign w:val="center"/>
          </w:tcPr>
          <w:p w14:paraId="3B31A4DE">
            <w:pPr>
              <w:pStyle w:val="7"/>
              <w:ind w:firstLine="0"/>
              <w:jc w:val="center"/>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rPr>
              <w:t xml:space="preserve">售后服务方案（ </w:t>
            </w:r>
            <w:r>
              <w:rPr>
                <w:rFonts w:hint="eastAsia" w:ascii="宋体" w:hAnsi="宋体" w:eastAsia="宋体" w:cs="宋体"/>
                <w:color w:val="000000"/>
                <w:kern w:val="2"/>
                <w:sz w:val="21"/>
                <w:szCs w:val="21"/>
                <w:lang w:val="en-US" w:eastAsia="zh-CN"/>
              </w:rPr>
              <w:t>12</w:t>
            </w:r>
            <w:r>
              <w:rPr>
                <w:rFonts w:hint="eastAsia" w:ascii="宋体" w:hAnsi="宋体" w:eastAsia="宋体" w:cs="宋体"/>
                <w:color w:val="000000"/>
                <w:kern w:val="2"/>
                <w:sz w:val="21"/>
                <w:szCs w:val="21"/>
              </w:rPr>
              <w:t>分）</w:t>
            </w:r>
          </w:p>
        </w:tc>
        <w:tc>
          <w:tcPr>
            <w:tcW w:w="5387" w:type="dxa"/>
            <w:noWrap w:val="0"/>
            <w:vAlign w:val="center"/>
          </w:tcPr>
          <w:p w14:paraId="59E1661F">
            <w:pPr>
              <w:adjustRightInd w:val="0"/>
              <w:snapToGrid w:val="0"/>
              <w:rPr>
                <w:rFonts w:hint="eastAsia" w:ascii="宋体" w:hAnsi="宋体" w:eastAsia="宋体" w:cs="宋体"/>
                <w:color w:val="000000"/>
                <w:szCs w:val="21"/>
              </w:rPr>
            </w:pPr>
            <w:r>
              <w:rPr>
                <w:rFonts w:hint="eastAsia" w:ascii="宋体" w:hAnsi="宋体" w:eastAsia="宋体" w:cs="宋体"/>
                <w:color w:val="000000"/>
                <w:szCs w:val="21"/>
              </w:rPr>
              <w:t>依据投标人针对本项目编制的食材供应售后服务专项方案开展综合评审，评审核查内容包含：</w:t>
            </w:r>
          </w:p>
          <w:p w14:paraId="1F085953">
            <w:pPr>
              <w:adjustRightInd w:val="0"/>
              <w:snapToGrid w:val="0"/>
              <w:rPr>
                <w:rFonts w:hint="eastAsia" w:ascii="宋体" w:hAnsi="宋体" w:eastAsia="宋体" w:cs="宋体"/>
                <w:color w:val="000000"/>
                <w:szCs w:val="21"/>
              </w:rPr>
            </w:pPr>
            <w:r>
              <w:rPr>
                <w:rFonts w:hint="eastAsia" w:ascii="宋体" w:hAnsi="宋体" w:eastAsia="宋体" w:cs="宋体"/>
                <w:color w:val="000000"/>
                <w:szCs w:val="21"/>
              </w:rPr>
              <w:t>①日常供货售后响应机制、②供货差错补换货处置流程、③质量异议快速核查处理、④定期回访与意见整改落实、⑤突发断供应急替补保障、⑥售后赔付及追责保障六项内容综合评分。</w:t>
            </w:r>
          </w:p>
          <w:p w14:paraId="1D63BF8E">
            <w:pPr>
              <w:adjustRightInd w:val="0"/>
              <w:snapToGrid w:val="0"/>
              <w:rPr>
                <w:rFonts w:hint="eastAsia" w:ascii="宋体" w:hAnsi="宋体" w:eastAsia="宋体" w:cs="宋体"/>
                <w:color w:val="000000"/>
                <w:szCs w:val="21"/>
              </w:rPr>
            </w:pPr>
            <w:r>
              <w:rPr>
                <w:rFonts w:hint="eastAsia" w:ascii="宋体" w:hAnsi="宋体" w:eastAsia="宋体" w:cs="宋体"/>
                <w:color w:val="000000"/>
                <w:szCs w:val="21"/>
                <w:lang w:val="en-US" w:eastAsia="zh-CN"/>
              </w:rPr>
              <w:t>包括</w:t>
            </w:r>
            <w:r>
              <w:rPr>
                <w:rFonts w:hint="eastAsia" w:ascii="宋体" w:hAnsi="宋体" w:eastAsia="宋体" w:cs="宋体"/>
                <w:color w:val="000000"/>
                <w:szCs w:val="21"/>
              </w:rPr>
              <w:t>以上全部内容且结合本项目实际阐述详实、清晰合理、可操作性强的计</w:t>
            </w:r>
            <w:r>
              <w:rPr>
                <w:rFonts w:hint="eastAsia" w:ascii="宋体" w:hAnsi="宋体" w:eastAsia="宋体" w:cs="宋体"/>
                <w:color w:val="000000"/>
                <w:szCs w:val="21"/>
                <w:lang w:val="en-US" w:eastAsia="zh-CN"/>
              </w:rPr>
              <w:t>12</w:t>
            </w:r>
            <w:r>
              <w:rPr>
                <w:rFonts w:hint="eastAsia" w:ascii="宋体" w:hAnsi="宋体" w:eastAsia="宋体" w:cs="宋体"/>
                <w:color w:val="000000"/>
                <w:szCs w:val="21"/>
              </w:rPr>
              <w:t>分；与本项目无关、不合理或缺项漏项的扣</w:t>
            </w:r>
            <w:r>
              <w:rPr>
                <w:rFonts w:hint="eastAsia" w:ascii="宋体" w:hAnsi="宋体" w:eastAsia="宋体" w:cs="宋体"/>
                <w:color w:val="000000"/>
                <w:szCs w:val="21"/>
                <w:lang w:val="en-US" w:eastAsia="zh-CN"/>
              </w:rPr>
              <w:t>2</w:t>
            </w:r>
            <w:r>
              <w:rPr>
                <w:rFonts w:hint="eastAsia" w:ascii="宋体" w:hAnsi="宋体" w:eastAsia="宋体" w:cs="宋体"/>
                <w:color w:val="000000"/>
                <w:szCs w:val="21"/>
              </w:rPr>
              <w:t>分；不详细、不完整的每处扣</w:t>
            </w:r>
            <w:r>
              <w:rPr>
                <w:rFonts w:hint="eastAsia" w:ascii="宋体" w:hAnsi="宋体" w:eastAsia="宋体" w:cs="宋体"/>
                <w:color w:val="000000"/>
                <w:szCs w:val="21"/>
                <w:lang w:val="en-US" w:eastAsia="zh-CN"/>
              </w:rPr>
              <w:t>1</w:t>
            </w:r>
            <w:r>
              <w:rPr>
                <w:rFonts w:hint="eastAsia" w:ascii="宋体" w:hAnsi="宋体" w:eastAsia="宋体" w:cs="宋体"/>
                <w:color w:val="000000"/>
                <w:szCs w:val="21"/>
              </w:rPr>
              <w:t>分，扣完为止，未提供的不计分</w:t>
            </w:r>
            <w:r>
              <w:rPr>
                <w:rFonts w:hint="eastAsia" w:ascii="宋体" w:hAnsi="宋体" w:eastAsia="宋体" w:cs="宋体"/>
                <w:color w:val="000000"/>
                <w:szCs w:val="21"/>
                <w:lang w:eastAsia="zh-CN"/>
              </w:rPr>
              <w:t>。</w:t>
            </w:r>
          </w:p>
        </w:tc>
      </w:tr>
      <w:tr w14:paraId="1E471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28" w:hRule="atLeast"/>
        </w:trPr>
        <w:tc>
          <w:tcPr>
            <w:tcW w:w="988" w:type="dxa"/>
            <w:vMerge w:val="restart"/>
            <w:tcBorders>
              <w:right w:val="single" w:color="auto" w:sz="4" w:space="0"/>
            </w:tcBorders>
            <w:noWrap w:val="0"/>
            <w:vAlign w:val="center"/>
          </w:tcPr>
          <w:p w14:paraId="1851FFE5">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3</w:t>
            </w:r>
          </w:p>
        </w:tc>
        <w:tc>
          <w:tcPr>
            <w:tcW w:w="1418" w:type="dxa"/>
            <w:vMerge w:val="restart"/>
            <w:tcBorders>
              <w:top w:val="single" w:color="auto" w:sz="4" w:space="0"/>
              <w:left w:val="single" w:color="auto" w:sz="4" w:space="0"/>
              <w:bottom w:val="single" w:color="auto" w:sz="4" w:space="0"/>
              <w:right w:val="single" w:color="auto" w:sz="4" w:space="0"/>
            </w:tcBorders>
            <w:noWrap w:val="0"/>
            <w:vAlign w:val="center"/>
          </w:tcPr>
          <w:p w14:paraId="1CCBDC64">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商务评价</w:t>
            </w:r>
          </w:p>
          <w:p w14:paraId="2638E386">
            <w:pPr>
              <w:adjustRightInd w:val="0"/>
              <w:snapToGrid w:val="0"/>
              <w:spacing w:before="156" w:beforeLines="50" w:line="360" w:lineRule="auto"/>
              <w:jc w:val="center"/>
              <w:rPr>
                <w:rFonts w:hint="eastAsia" w:ascii="宋体" w:hAnsi="宋体" w:eastAsia="宋体" w:cs="宋体"/>
                <w:color w:val="000000"/>
                <w:szCs w:val="21"/>
              </w:rPr>
            </w:pPr>
            <w:r>
              <w:rPr>
                <w:rFonts w:hint="eastAsia" w:ascii="宋体" w:hAnsi="宋体" w:eastAsia="宋体" w:cs="宋体"/>
                <w:color w:val="000000"/>
                <w:szCs w:val="21"/>
              </w:rPr>
              <w:t>（</w:t>
            </w:r>
            <w:r>
              <w:rPr>
                <w:rFonts w:hint="eastAsia" w:ascii="宋体" w:hAnsi="宋体" w:eastAsia="宋体" w:cs="宋体"/>
                <w:color w:val="000000"/>
                <w:szCs w:val="21"/>
                <w:lang w:val="en-US" w:eastAsia="zh-CN"/>
              </w:rPr>
              <w:t>23</w:t>
            </w:r>
            <w:r>
              <w:rPr>
                <w:rFonts w:hint="eastAsia" w:ascii="宋体" w:hAnsi="宋体" w:eastAsia="宋体" w:cs="宋体"/>
                <w:color w:val="000000"/>
                <w:szCs w:val="21"/>
              </w:rPr>
              <w:t>分）</w:t>
            </w:r>
          </w:p>
        </w:tc>
        <w:tc>
          <w:tcPr>
            <w:tcW w:w="1275" w:type="dxa"/>
            <w:tcBorders>
              <w:left w:val="single" w:color="auto" w:sz="4" w:space="0"/>
              <w:bottom w:val="single" w:color="auto" w:sz="4" w:space="0"/>
            </w:tcBorders>
            <w:noWrap w:val="0"/>
            <w:vAlign w:val="center"/>
          </w:tcPr>
          <w:p w14:paraId="25D557E6">
            <w:pPr>
              <w:adjustRightInd w:val="0"/>
              <w:snapToGrid w:val="0"/>
              <w:spacing w:before="156" w:beforeLines="50"/>
              <w:jc w:val="center"/>
              <w:rPr>
                <w:rFonts w:hint="eastAsia" w:ascii="宋体" w:hAnsi="宋体" w:eastAsia="宋体" w:cs="宋体"/>
                <w:color w:val="000000"/>
              </w:rPr>
            </w:pPr>
            <w:r>
              <w:rPr>
                <w:rFonts w:hint="eastAsia" w:ascii="宋体" w:hAnsi="宋体" w:eastAsia="宋体" w:cs="宋体"/>
                <w:color w:val="000000"/>
              </w:rPr>
              <w:t>类似业绩</w:t>
            </w:r>
          </w:p>
          <w:p w14:paraId="2602705B">
            <w:pPr>
              <w:adjustRightInd w:val="0"/>
              <w:snapToGrid w:val="0"/>
              <w:spacing w:before="156" w:beforeLines="50"/>
              <w:jc w:val="center"/>
              <w:rPr>
                <w:rFonts w:hint="eastAsia" w:ascii="宋体" w:hAnsi="宋体" w:eastAsia="宋体" w:cs="宋体"/>
                <w:color w:val="000000"/>
              </w:rPr>
            </w:pPr>
            <w:r>
              <w:rPr>
                <w:rFonts w:hint="eastAsia" w:ascii="宋体" w:hAnsi="宋体" w:eastAsia="宋体" w:cs="宋体"/>
                <w:color w:val="000000"/>
              </w:rPr>
              <w:t>（</w:t>
            </w:r>
            <w:r>
              <w:rPr>
                <w:rFonts w:hint="eastAsia" w:ascii="宋体" w:hAnsi="宋体" w:eastAsia="宋体" w:cs="宋体"/>
                <w:color w:val="000000"/>
                <w:lang w:val="en-US" w:eastAsia="zh-CN"/>
              </w:rPr>
              <w:t>8</w:t>
            </w:r>
            <w:r>
              <w:rPr>
                <w:rFonts w:hint="eastAsia" w:ascii="宋体" w:hAnsi="宋体" w:eastAsia="宋体" w:cs="宋体"/>
                <w:color w:val="000000"/>
              </w:rPr>
              <w:t>分）</w:t>
            </w:r>
          </w:p>
        </w:tc>
        <w:tc>
          <w:tcPr>
            <w:tcW w:w="5387" w:type="dxa"/>
            <w:noWrap w:val="0"/>
            <w:vAlign w:val="center"/>
          </w:tcPr>
          <w:p w14:paraId="48016C50">
            <w:pPr>
              <w:adjustRightInd w:val="0"/>
              <w:snapToGrid w:val="0"/>
              <w:rPr>
                <w:rFonts w:hint="eastAsia" w:ascii="宋体" w:hAnsi="宋体" w:eastAsia="宋体" w:cs="宋体"/>
                <w:color w:val="000000"/>
                <w:kern w:val="2"/>
                <w:sz w:val="21"/>
              </w:rPr>
            </w:pPr>
            <w:r>
              <w:rPr>
                <w:rFonts w:hint="eastAsia" w:ascii="宋体" w:hAnsi="宋体" w:eastAsia="宋体" w:cs="宋体"/>
                <w:color w:val="000000"/>
                <w:kern w:val="2"/>
                <w:sz w:val="21"/>
              </w:rPr>
              <w:t xml:space="preserve">  近3年（2023年8月以来）承担的类似项目业绩</w:t>
            </w:r>
            <w:r>
              <w:rPr>
                <w:rFonts w:hint="eastAsia" w:ascii="宋体" w:hAnsi="宋体" w:eastAsia="宋体" w:cs="宋体"/>
                <w:color w:val="000000"/>
                <w:kern w:val="2"/>
                <w:sz w:val="21"/>
                <w:lang w:eastAsia="zh-CN"/>
              </w:rPr>
              <w:t>（</w:t>
            </w:r>
            <w:r>
              <w:rPr>
                <w:rFonts w:hint="eastAsia" w:ascii="宋体" w:hAnsi="宋体" w:eastAsia="宋体" w:cs="宋体"/>
                <w:color w:val="000000"/>
                <w:kern w:val="2"/>
                <w:sz w:val="21"/>
              </w:rPr>
              <w:t>物资配送</w:t>
            </w:r>
            <w:r>
              <w:rPr>
                <w:rFonts w:hint="eastAsia" w:ascii="宋体" w:hAnsi="宋体" w:eastAsia="宋体" w:cs="宋体"/>
                <w:color w:val="000000"/>
                <w:kern w:val="2"/>
                <w:sz w:val="21"/>
                <w:lang w:val="en-US" w:eastAsia="zh-CN"/>
              </w:rPr>
              <w:t>分拣</w:t>
            </w:r>
            <w:r>
              <w:rPr>
                <w:rFonts w:hint="eastAsia" w:ascii="宋体" w:hAnsi="宋体" w:eastAsia="宋体" w:cs="宋体"/>
                <w:color w:val="000000"/>
                <w:kern w:val="2"/>
                <w:sz w:val="21"/>
              </w:rPr>
              <w:t>、冷链配送项目</w:t>
            </w:r>
            <w:r>
              <w:rPr>
                <w:rFonts w:hint="eastAsia" w:ascii="宋体" w:hAnsi="宋体" w:eastAsia="宋体" w:cs="宋体"/>
                <w:color w:val="000000"/>
                <w:kern w:val="2"/>
                <w:sz w:val="21"/>
                <w:lang w:eastAsia="zh-CN"/>
              </w:rPr>
              <w:t>）</w:t>
            </w:r>
            <w:r>
              <w:rPr>
                <w:rFonts w:hint="eastAsia" w:ascii="宋体" w:hAnsi="宋体" w:eastAsia="宋体" w:cs="宋体"/>
                <w:color w:val="000000"/>
                <w:kern w:val="2"/>
                <w:sz w:val="21"/>
                <w:lang w:val="en-US" w:eastAsia="zh-CN"/>
              </w:rPr>
              <w:t>的每个计4分；最多计8分。</w:t>
            </w:r>
            <w:r>
              <w:rPr>
                <w:rFonts w:hint="eastAsia" w:ascii="宋体" w:hAnsi="宋体" w:eastAsia="宋体" w:cs="宋体"/>
                <w:color w:val="000000"/>
                <w:kern w:val="2"/>
                <w:sz w:val="21"/>
              </w:rPr>
              <w:t>（提供合同复印件，加盖公章）</w:t>
            </w:r>
          </w:p>
        </w:tc>
      </w:tr>
      <w:tr w14:paraId="569D31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88" w:type="dxa"/>
            <w:vMerge w:val="continue"/>
            <w:tcBorders>
              <w:right w:val="single" w:color="auto" w:sz="4" w:space="0"/>
            </w:tcBorders>
            <w:noWrap w:val="0"/>
            <w:vAlign w:val="center"/>
          </w:tcPr>
          <w:p w14:paraId="1B1E14ED">
            <w:pPr>
              <w:adjustRightInd w:val="0"/>
              <w:snapToGrid w:val="0"/>
              <w:spacing w:before="156" w:beforeLines="50" w:line="360" w:lineRule="auto"/>
              <w:jc w:val="center"/>
              <w:rPr>
                <w:rFonts w:hint="eastAsia" w:ascii="宋体" w:hAnsi="宋体" w:eastAsia="宋体" w:cs="宋体"/>
                <w:color w:val="000000"/>
                <w:szCs w:val="21"/>
              </w:rPr>
            </w:pPr>
          </w:p>
        </w:tc>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096717C4">
            <w:pPr>
              <w:adjustRightInd w:val="0"/>
              <w:snapToGrid w:val="0"/>
              <w:spacing w:before="156" w:beforeLines="50" w:line="360" w:lineRule="auto"/>
              <w:jc w:val="center"/>
              <w:rPr>
                <w:rFonts w:hint="eastAsia" w:ascii="宋体" w:hAnsi="宋体" w:eastAsia="宋体" w:cs="宋体"/>
                <w:color w:val="000000"/>
                <w:szCs w:val="21"/>
              </w:rPr>
            </w:pPr>
          </w:p>
        </w:tc>
        <w:tc>
          <w:tcPr>
            <w:tcW w:w="1275" w:type="dxa"/>
            <w:tcBorders>
              <w:left w:val="single" w:color="auto" w:sz="4" w:space="0"/>
              <w:bottom w:val="single" w:color="auto" w:sz="4" w:space="0"/>
            </w:tcBorders>
            <w:noWrap w:val="0"/>
            <w:vAlign w:val="center"/>
          </w:tcPr>
          <w:p w14:paraId="60F7CAEB">
            <w:pPr>
              <w:adjustRightInd w:val="0"/>
              <w:snapToGrid w:val="0"/>
              <w:spacing w:before="156" w:beforeLines="50"/>
              <w:jc w:val="center"/>
              <w:rPr>
                <w:rFonts w:hint="eastAsia" w:ascii="宋体" w:hAnsi="宋体" w:eastAsia="宋体" w:cs="宋体"/>
                <w:color w:val="000000"/>
              </w:rPr>
            </w:pPr>
            <w:r>
              <w:rPr>
                <w:rFonts w:hint="eastAsia" w:ascii="宋体" w:hAnsi="宋体" w:eastAsia="宋体" w:cs="宋体"/>
                <w:color w:val="000000"/>
              </w:rPr>
              <w:t>企业资质与荣誉（</w:t>
            </w:r>
            <w:r>
              <w:rPr>
                <w:rFonts w:hint="eastAsia" w:ascii="宋体" w:hAnsi="宋体" w:eastAsia="宋体" w:cs="宋体"/>
                <w:color w:val="000000"/>
                <w:lang w:val="en-US" w:eastAsia="zh-CN"/>
              </w:rPr>
              <w:t>6</w:t>
            </w:r>
            <w:r>
              <w:rPr>
                <w:rFonts w:hint="eastAsia" w:ascii="宋体" w:hAnsi="宋体" w:eastAsia="宋体" w:cs="宋体"/>
                <w:color w:val="000000"/>
              </w:rPr>
              <w:t>分）</w:t>
            </w:r>
          </w:p>
        </w:tc>
        <w:tc>
          <w:tcPr>
            <w:tcW w:w="5387" w:type="dxa"/>
            <w:tcBorders>
              <w:bottom w:val="single" w:color="auto" w:sz="4" w:space="0"/>
            </w:tcBorders>
            <w:noWrap w:val="0"/>
            <w:vAlign w:val="center"/>
          </w:tcPr>
          <w:p w14:paraId="62FA07A9">
            <w:pPr>
              <w:numPr>
                <w:ilvl w:val="0"/>
                <w:numId w:val="1"/>
              </w:numPr>
              <w:adjustRightInd w:val="0"/>
              <w:snapToGrid w:val="0"/>
              <w:ind w:left="105" w:leftChars="0" w:firstLine="0" w:firstLineChars="0"/>
              <w:rPr>
                <w:rFonts w:hint="eastAsia" w:ascii="宋体" w:hAnsi="宋体" w:eastAsia="宋体" w:cs="宋体"/>
                <w:color w:val="000000"/>
                <w:kern w:val="2"/>
                <w:sz w:val="21"/>
              </w:rPr>
            </w:pPr>
            <w:r>
              <w:rPr>
                <w:rFonts w:hint="eastAsia" w:ascii="宋体" w:hAnsi="宋体" w:eastAsia="宋体" w:cs="宋体"/>
                <w:color w:val="000000"/>
                <w:kern w:val="2"/>
                <w:sz w:val="21"/>
              </w:rPr>
              <w:t>具有有效的《道路运输经营许可证》，得2分；</w:t>
            </w:r>
          </w:p>
          <w:p w14:paraId="54B168A0">
            <w:pPr>
              <w:numPr>
                <w:ilvl w:val="0"/>
                <w:numId w:val="0"/>
              </w:numPr>
              <w:adjustRightInd w:val="0"/>
              <w:snapToGrid w:val="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rPr>
              <w:t xml:space="preserve"> 2. 近3年获得市级及以上快递物流行业先进单位荣誉的，得</w:t>
            </w:r>
            <w:r>
              <w:rPr>
                <w:rFonts w:hint="eastAsia" w:ascii="宋体" w:hAnsi="宋体" w:eastAsia="宋体" w:cs="宋体"/>
                <w:color w:val="000000"/>
                <w:kern w:val="2"/>
                <w:sz w:val="21"/>
                <w:lang w:val="en-US" w:eastAsia="zh-CN"/>
              </w:rPr>
              <w:t>4</w:t>
            </w:r>
            <w:r>
              <w:rPr>
                <w:rFonts w:hint="eastAsia" w:ascii="宋体" w:hAnsi="宋体" w:eastAsia="宋体" w:cs="宋体"/>
                <w:color w:val="000000"/>
                <w:kern w:val="2"/>
                <w:sz w:val="21"/>
              </w:rPr>
              <w:t>分</w:t>
            </w:r>
            <w:r>
              <w:rPr>
                <w:rFonts w:hint="eastAsia" w:ascii="宋体" w:hAnsi="宋体" w:eastAsia="宋体" w:cs="宋体"/>
                <w:color w:val="000000"/>
                <w:kern w:val="2"/>
                <w:sz w:val="21"/>
                <w:lang w:val="en-US" w:eastAsia="zh-CN"/>
              </w:rPr>
              <w:t>。</w:t>
            </w:r>
          </w:p>
          <w:p w14:paraId="3F0E6434">
            <w:pPr>
              <w:widowControl w:val="0"/>
              <w:autoSpaceDE w:val="0"/>
              <w:autoSpaceDN w:val="0"/>
              <w:adjustRightInd w:val="0"/>
              <w:rPr>
                <w:rFonts w:hint="eastAsia" w:ascii="宋体" w:hAnsi="宋体" w:eastAsia="宋体" w:cs="宋体"/>
                <w:color w:val="000000"/>
                <w:lang w:val="en-US" w:eastAsia="zh-CN" w:bidi="ar-SA"/>
              </w:rPr>
            </w:pPr>
            <w:r>
              <w:rPr>
                <w:rFonts w:hint="eastAsia" w:ascii="宋体" w:hAnsi="宋体" w:eastAsia="宋体" w:cs="宋体"/>
                <w:color w:val="000000"/>
                <w:kern w:val="2"/>
                <w:sz w:val="21"/>
                <w:lang w:val="en-US" w:eastAsia="zh-CN" w:bidi="ar-SA"/>
              </w:rPr>
              <w:t>提供证明材料复印件加盖公章</w:t>
            </w:r>
          </w:p>
        </w:tc>
      </w:tr>
      <w:tr w14:paraId="675B82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trPr>
        <w:tc>
          <w:tcPr>
            <w:tcW w:w="988" w:type="dxa"/>
            <w:vMerge w:val="continue"/>
            <w:tcBorders>
              <w:right w:val="single" w:color="auto" w:sz="4" w:space="0"/>
            </w:tcBorders>
            <w:noWrap w:val="0"/>
            <w:vAlign w:val="center"/>
          </w:tcPr>
          <w:p w14:paraId="3C591BB5">
            <w:pPr>
              <w:adjustRightInd w:val="0"/>
              <w:snapToGrid w:val="0"/>
              <w:spacing w:before="156" w:beforeLines="50" w:line="360" w:lineRule="auto"/>
              <w:jc w:val="center"/>
              <w:rPr>
                <w:rFonts w:hint="eastAsia" w:ascii="宋体" w:hAnsi="宋体" w:eastAsia="宋体" w:cs="宋体"/>
                <w:color w:val="000000"/>
                <w:szCs w:val="21"/>
              </w:rPr>
            </w:pPr>
          </w:p>
        </w:tc>
        <w:tc>
          <w:tcPr>
            <w:tcW w:w="1418" w:type="dxa"/>
            <w:vMerge w:val="continue"/>
            <w:tcBorders>
              <w:top w:val="single" w:color="auto" w:sz="4" w:space="0"/>
              <w:left w:val="single" w:color="auto" w:sz="4" w:space="0"/>
              <w:bottom w:val="single" w:color="auto" w:sz="4" w:space="0"/>
              <w:right w:val="single" w:color="auto" w:sz="4" w:space="0"/>
            </w:tcBorders>
            <w:noWrap w:val="0"/>
            <w:vAlign w:val="center"/>
          </w:tcPr>
          <w:p w14:paraId="0870074A">
            <w:pPr>
              <w:adjustRightInd w:val="0"/>
              <w:snapToGrid w:val="0"/>
              <w:spacing w:before="156" w:beforeLines="50" w:line="360" w:lineRule="auto"/>
              <w:jc w:val="center"/>
              <w:rPr>
                <w:rFonts w:hint="eastAsia" w:ascii="宋体" w:hAnsi="宋体" w:eastAsia="宋体" w:cs="宋体"/>
                <w:color w:val="000000"/>
                <w:szCs w:val="21"/>
              </w:rPr>
            </w:pPr>
          </w:p>
        </w:tc>
        <w:tc>
          <w:tcPr>
            <w:tcW w:w="1275" w:type="dxa"/>
            <w:tcBorders>
              <w:left w:val="single" w:color="auto" w:sz="4" w:space="0"/>
              <w:bottom w:val="single" w:color="auto" w:sz="4" w:space="0"/>
              <w:right w:val="single" w:color="auto" w:sz="4" w:space="0"/>
            </w:tcBorders>
            <w:noWrap w:val="0"/>
            <w:vAlign w:val="center"/>
          </w:tcPr>
          <w:p w14:paraId="3A247FE1">
            <w:pPr>
              <w:adjustRightInd w:val="0"/>
              <w:snapToGrid w:val="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lang w:val="en-US" w:eastAsia="zh-CN"/>
              </w:rPr>
              <w:t>人员配备（9分）</w:t>
            </w:r>
          </w:p>
        </w:tc>
        <w:tc>
          <w:tcPr>
            <w:tcW w:w="5387" w:type="dxa"/>
            <w:tcBorders>
              <w:top w:val="single" w:color="auto" w:sz="4" w:space="0"/>
              <w:left w:val="single" w:color="auto" w:sz="4" w:space="0"/>
              <w:bottom w:val="single" w:color="auto" w:sz="4" w:space="0"/>
              <w:right w:val="single" w:color="auto" w:sz="4" w:space="0"/>
            </w:tcBorders>
            <w:noWrap w:val="0"/>
            <w:vAlign w:val="center"/>
          </w:tcPr>
          <w:p w14:paraId="03E8BB4E">
            <w:pPr>
              <w:adjustRightInd w:val="0"/>
              <w:snapToGrid w:val="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lang w:val="en-US" w:eastAsia="zh-CN"/>
              </w:rPr>
              <w:t>本项评审规则：</w:t>
            </w:r>
          </w:p>
          <w:p w14:paraId="181E8FA2">
            <w:pPr>
              <w:adjustRightInd w:val="0"/>
              <w:snapToGrid w:val="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lang w:val="en-US" w:eastAsia="zh-CN"/>
              </w:rPr>
              <w:t xml:space="preserve">① 项目配备工作人员合计 </w:t>
            </w:r>
            <w:r>
              <w:rPr>
                <w:rFonts w:hint="eastAsia" w:ascii="Calibri" w:hAnsi="宋体" w:cs="宋体"/>
                <w:color w:val="000000"/>
                <w:kern w:val="2"/>
                <w:sz w:val="21"/>
                <w:lang w:val="en-US" w:eastAsia="zh-CN"/>
              </w:rPr>
              <w:t>≤</w:t>
            </w:r>
            <w:r>
              <w:rPr>
                <w:rFonts w:hint="eastAsia" w:ascii="Calibri" w:hAnsi="宋体" w:eastAsia="宋体" w:cs="宋体"/>
                <w:color w:val="000000"/>
                <w:kern w:val="2"/>
                <w:sz w:val="21"/>
                <w:lang w:val="en-US" w:eastAsia="zh-CN"/>
              </w:rPr>
              <w:t>30</w:t>
            </w:r>
            <w:r>
              <w:rPr>
                <w:rFonts w:hint="eastAsia" w:ascii="宋体" w:hAnsi="宋体" w:eastAsia="宋体" w:cs="宋体"/>
                <w:color w:val="000000"/>
                <w:kern w:val="2"/>
                <w:sz w:val="21"/>
                <w:lang w:val="en-US" w:eastAsia="zh-CN"/>
              </w:rPr>
              <w:t xml:space="preserve"> 人：得 3 分；</w:t>
            </w:r>
          </w:p>
          <w:p w14:paraId="3B7165E9">
            <w:pPr>
              <w:adjustRightInd w:val="0"/>
              <w:snapToGrid w:val="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lang w:val="en-US" w:eastAsia="zh-CN"/>
              </w:rPr>
              <w:t>② 项目配备工作人员合计 31～35 人：得 6 分；</w:t>
            </w:r>
          </w:p>
          <w:p w14:paraId="6A8B73D2">
            <w:pPr>
              <w:adjustRightInd w:val="0"/>
              <w:snapToGrid w:val="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lang w:val="en-US" w:eastAsia="zh-CN"/>
              </w:rPr>
              <w:t>③ 项目配备工作人员合计 36～40 人：得 9 分；</w:t>
            </w:r>
          </w:p>
          <w:p w14:paraId="640C00B9">
            <w:pPr>
              <w:adjustRightInd w:val="0"/>
              <w:snapToGrid w:val="0"/>
              <w:rPr>
                <w:rFonts w:hint="eastAsia" w:ascii="宋体" w:hAnsi="宋体" w:eastAsia="宋体" w:cs="宋体"/>
                <w:color w:val="000000"/>
                <w:kern w:val="2"/>
                <w:sz w:val="21"/>
                <w:lang w:val="en-US" w:eastAsia="zh-CN"/>
              </w:rPr>
            </w:pPr>
            <w:r>
              <w:rPr>
                <w:rFonts w:hint="eastAsia" w:ascii="宋体" w:hAnsi="宋体" w:eastAsia="宋体" w:cs="宋体"/>
                <w:color w:val="000000"/>
                <w:kern w:val="2"/>
                <w:sz w:val="21"/>
                <w:lang w:val="en-US" w:eastAsia="zh-CN"/>
              </w:rPr>
              <w:t>佐证要求：投标人须随投标文件一并附上上述配备人员对应的近期正规社会保险参保缴纳证明文件；无法提供有效参保证明、证明材料造假、人员与参保信息无法对应的，本评审项不予计分。</w:t>
            </w:r>
          </w:p>
        </w:tc>
      </w:tr>
    </w:tbl>
    <w:p w14:paraId="4D980E98">
      <w:pPr>
        <w:rPr>
          <w:rFonts w:hint="eastAsia" w:ascii="宋体" w:hAnsi="宋体" w:eastAsia="宋体" w:cs="宋体"/>
          <w:b/>
          <w:bCs w:val="0"/>
          <w:color w:val="000000"/>
          <w:sz w:val="32"/>
          <w:szCs w:val="32"/>
          <w:highlight w:val="none"/>
          <w:lang w:val="en-US" w:eastAsia="zh-CN"/>
        </w:rPr>
      </w:pP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8AB7DE1"/>
    <w:multiLevelType w:val="singleLevel"/>
    <w:tmpl w:val="48AB7DE1"/>
    <w:lvl w:ilvl="0" w:tentative="0">
      <w:start w:val="1"/>
      <w:numFmt w:val="decimal"/>
      <w:suff w:val="space"/>
      <w:lvlText w:val="%1."/>
      <w:lvlJc w:val="left"/>
      <w:pPr>
        <w:ind w:left="105"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6F125B"/>
    <w:rsid w:val="016B02BC"/>
    <w:rsid w:val="136F12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rFonts w:ascii="Times New Roman" w:hAnsi="Times New Roman" w:eastAsia="宋体" w:cs="Times New Roman"/>
    </w:rPr>
  </w:style>
  <w:style w:type="paragraph" w:styleId="3">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paragraph" w:customStyle="1" w:styleId="6">
    <w:name w:val="列出段落1"/>
    <w:basedOn w:val="1"/>
    <w:qFormat/>
    <w:uiPriority w:val="0"/>
    <w:pPr>
      <w:ind w:firstLine="420" w:firstLineChars="200"/>
    </w:pPr>
    <w:rPr>
      <w:rFonts w:ascii="Times New Roman" w:hAnsi="Times New Roman" w:eastAsia="宋体" w:cs="Times New Roman"/>
      <w:szCs w:val="21"/>
    </w:rPr>
  </w:style>
  <w:style w:type="paragraph" w:customStyle="1" w:styleId="7">
    <w:name w:val="正文格式"/>
    <w:qFormat/>
    <w:uiPriority w:val="0"/>
    <w:pPr>
      <w:widowControl/>
      <w:adjustRightInd w:val="0"/>
      <w:spacing w:line="400" w:lineRule="atLeast"/>
      <w:ind w:firstLine="482"/>
      <w:jc w:val="both"/>
      <w:textAlignment w:val="baseline"/>
    </w:pPr>
    <w:rPr>
      <w:rFonts w:ascii="Calibri" w:hAnsi="Calibri" w:eastAsia="宋体" w:cs="Times New Roman"/>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4425</Words>
  <Characters>4488</Characters>
  <Lines>0</Lines>
  <Paragraphs>0</Paragraphs>
  <TotalTime>3</TotalTime>
  <ScaleCrop>false</ScaleCrop>
  <LinksUpToDate>false</LinksUpToDate>
  <CharactersWithSpaces>4514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2026-08-14T02:51:00Z</dcterms:created>
  <dc:creator>卖星星的</dc:creator>
  <cp:lastModifiedBy>A伍俊臣</cp:lastModifiedBy>
  <dcterms:modified xsi:type="dcterms:W3CDTF">2026-08-14T07:07:42Z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8C78E970034A48029B95D62AE15E8FC8_11</vt:lpwstr>
  </property>
  <property fmtid="{D5CDD505-2E9C-101B-9397-08002B2CF9AE}" pid="4" name="KSOTemplateDocerSaveRecord">
    <vt:lpwstr>eyJoZGlkIjoiMzEwNTM5NzYwMDRjMzkwZTVkZjY2ODkwMGIxNGU0OTUiLCJ1c2VySWQiOiI0MjM1NjgzODEifQ==</vt:lpwstr>
  </property>
</Properties>
</file>