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41D57">
      <w:pPr>
        <w:keepNext w:val="0"/>
        <w:keepLines w:val="0"/>
        <w:pageBreakBefore w:val="0"/>
        <w:widowControl w:val="0"/>
        <w:kinsoku/>
        <w:wordWrap/>
        <w:overflowPunct/>
        <w:bidi w:val="0"/>
        <w:spacing w:line="360" w:lineRule="auto"/>
        <w:jc w:val="center"/>
        <w:outlineLvl w:val="0"/>
        <w:rPr>
          <w:rFonts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40"/>
          <w:szCs w:val="40"/>
          <w:lang w:val="en-US" w:eastAsia="zh-CN"/>
          <w14:textFill>
            <w14:solidFill>
              <w14:schemeClr w14:val="tx1"/>
            </w14:solidFill>
          </w14:textFill>
        </w:rPr>
        <w:t>比选</w:t>
      </w:r>
      <w:r>
        <w:rPr>
          <w:rFonts w:hint="eastAsia" w:ascii="仿宋" w:hAnsi="仿宋" w:eastAsia="仿宋" w:cs="仿宋"/>
          <w:b/>
          <w:bCs/>
          <w:color w:val="000000" w:themeColor="text1"/>
          <w:kern w:val="0"/>
          <w:sz w:val="40"/>
          <w:szCs w:val="40"/>
          <w14:textFill>
            <w14:solidFill>
              <w14:schemeClr w14:val="tx1"/>
            </w14:solidFill>
          </w14:textFill>
        </w:rPr>
        <w:t>办法及标准</w:t>
      </w:r>
    </w:p>
    <w:p w14:paraId="0CB0012C">
      <w:pPr>
        <w:keepNext w:val="0"/>
        <w:keepLines w:val="0"/>
        <w:pageBreakBefore w:val="0"/>
        <w:widowControl w:val="0"/>
        <w:kinsoku/>
        <w:wordWrap/>
        <w:overflowPunct/>
        <w:bidi w:val="0"/>
        <w:spacing w:line="240" w:lineRule="exact"/>
        <w:ind w:firstLine="540" w:firstLineChars="200"/>
        <w:jc w:val="left"/>
        <w:textAlignment w:val="top"/>
        <w:rPr>
          <w:rFonts w:hint="eastAsia" w:ascii="仿宋" w:hAnsi="仿宋" w:eastAsia="仿宋" w:cs="仿宋"/>
          <w:color w:val="000000" w:themeColor="text1"/>
          <w:spacing w:val="15"/>
          <w:kern w:val="0"/>
          <w:sz w:val="24"/>
          <w14:textFill>
            <w14:solidFill>
              <w14:schemeClr w14:val="tx1"/>
            </w14:solidFill>
          </w14:textFill>
        </w:rPr>
      </w:pPr>
    </w:p>
    <w:p w14:paraId="4175F763">
      <w:pPr>
        <w:keepNext w:val="0"/>
        <w:keepLines w:val="0"/>
        <w:pageBreakBefore w:val="0"/>
        <w:widowControl w:val="0"/>
        <w:kinsoku/>
        <w:wordWrap/>
        <w:overflowPunct/>
        <w:bidi w:val="0"/>
        <w:spacing w:line="520" w:lineRule="exact"/>
        <w:ind w:firstLine="480" w:firstLineChars="200"/>
        <w:jc w:val="left"/>
        <w:textAlignment w:val="top"/>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本项目比选办法采用综合评分法，（评分细则见附件1-4）。评标委员会推荐排名前3名的投标人为中标候选人，在公示</w:t>
      </w:r>
      <w:r>
        <w:rPr>
          <w:rFonts w:hint="eastAsia" w:ascii="仿宋" w:hAnsi="仿宋" w:eastAsia="仿宋" w:cs="仿宋"/>
          <w:color w:val="000000" w:themeColor="text1"/>
          <w:sz w:val="24"/>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日（日历日）无异议后，招标人确定排名第一的中标候选人为中标人（若申请人综合得分相同，则按技术方案评审得分高的优先；若投标人综合得分和技术方案得分均相同，则按商务部分得分高的优先，上述得分均相同的，则由招标人自行确定）。</w:t>
      </w:r>
    </w:p>
    <w:p w14:paraId="05AEC7D1">
      <w:pPr>
        <w:keepNext w:val="0"/>
        <w:keepLines w:val="0"/>
        <w:pageBreakBefore w:val="0"/>
        <w:widowControl w:val="0"/>
        <w:kinsoku/>
        <w:wordWrap/>
        <w:overflowPunct/>
        <w:bidi w:val="0"/>
        <w:spacing w:line="360" w:lineRule="auto"/>
        <w:ind w:firstLine="542" w:firstLineChars="200"/>
        <w:outlineLvl w:val="0"/>
        <w:rPr>
          <w:rFonts w:hint="eastAsia" w:ascii="仿宋" w:hAnsi="仿宋" w:eastAsia="仿宋" w:cs="仿宋"/>
          <w:b/>
          <w:bCs/>
          <w:color w:val="000000" w:themeColor="text1"/>
          <w:spacing w:val="15"/>
          <w:kern w:val="0"/>
          <w:sz w:val="24"/>
          <w14:textFill>
            <w14:solidFill>
              <w14:schemeClr w14:val="tx1"/>
            </w14:solidFill>
          </w14:textFill>
        </w:rPr>
      </w:pPr>
      <w:bookmarkStart w:id="0" w:name="_Toc30955"/>
      <w:bookmarkStart w:id="1" w:name="_Toc30398"/>
      <w:bookmarkStart w:id="2" w:name="_Toc9718"/>
      <w:bookmarkStart w:id="3" w:name="_Toc19489"/>
      <w:r>
        <w:rPr>
          <w:rFonts w:hint="eastAsia" w:ascii="仿宋" w:hAnsi="仿宋" w:eastAsia="仿宋" w:cs="仿宋"/>
          <w:b/>
          <w:bCs/>
          <w:color w:val="000000" w:themeColor="text1"/>
          <w:spacing w:val="15"/>
          <w:kern w:val="0"/>
          <w:sz w:val="24"/>
          <w14:textFill>
            <w14:solidFill>
              <w14:schemeClr w14:val="tx1"/>
            </w14:solidFill>
          </w14:textFill>
        </w:rPr>
        <w:t>一、开标</w:t>
      </w:r>
      <w:bookmarkEnd w:id="0"/>
      <w:bookmarkEnd w:id="1"/>
      <w:bookmarkEnd w:id="2"/>
      <w:bookmarkEnd w:id="3"/>
    </w:p>
    <w:p w14:paraId="1B952BF4">
      <w:pPr>
        <w:keepNext w:val="0"/>
        <w:keepLines w:val="0"/>
        <w:pageBreakBefore w:val="0"/>
        <w:widowControl w:val="0"/>
        <w:kinsoku/>
        <w:wordWrap/>
        <w:overflowPunct/>
        <w:bidi w:val="0"/>
        <w:spacing w:line="520" w:lineRule="exact"/>
        <w:ind w:firstLine="480" w:firstLineChars="200"/>
        <w:jc w:val="left"/>
        <w:textAlignment w:val="top"/>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本次比选开标将于上述比选申请文件递交截止的</w:t>
      </w:r>
      <w:r>
        <w:rPr>
          <w:rFonts w:hint="eastAsia" w:ascii="仿宋" w:hAnsi="仿宋" w:eastAsia="仿宋" w:cs="仿宋"/>
          <w:color w:val="000000" w:themeColor="text1"/>
          <w:sz w:val="24"/>
          <w:lang w:eastAsia="zh-CN"/>
          <w14:textFill>
            <w14:solidFill>
              <w14:schemeClr w14:val="tx1"/>
            </w14:solidFill>
          </w14:textFill>
        </w:rPr>
        <w:t>时间后，招标人与评标委员会成员</w:t>
      </w:r>
      <w:r>
        <w:rPr>
          <w:rFonts w:hint="eastAsia" w:ascii="仿宋" w:hAnsi="仿宋" w:eastAsia="仿宋" w:cs="仿宋"/>
          <w:color w:val="000000" w:themeColor="text1"/>
          <w:sz w:val="24"/>
          <w:lang w:val="en-US" w:eastAsia="zh-CN"/>
          <w14:textFill>
            <w14:solidFill>
              <w14:schemeClr w14:val="tx1"/>
            </w14:solidFill>
          </w14:textFill>
        </w:rPr>
        <w:t>在公司纪检部门的监督下</w:t>
      </w:r>
      <w:r>
        <w:rPr>
          <w:rFonts w:hint="eastAsia" w:ascii="仿宋" w:hAnsi="仿宋" w:eastAsia="仿宋" w:cs="仿宋"/>
          <w:color w:val="000000" w:themeColor="text1"/>
          <w:sz w:val="24"/>
          <w:lang w:eastAsia="zh-CN"/>
          <w14:textFill>
            <w14:solidFill>
              <w14:schemeClr w14:val="tx1"/>
            </w14:solidFill>
          </w14:textFill>
        </w:rPr>
        <w:t>择日</w:t>
      </w:r>
      <w:r>
        <w:rPr>
          <w:rFonts w:hint="eastAsia" w:ascii="仿宋" w:hAnsi="仿宋" w:eastAsia="仿宋" w:cs="仿宋"/>
          <w:color w:val="000000" w:themeColor="text1"/>
          <w:sz w:val="24"/>
          <w14:textFill>
            <w14:solidFill>
              <w14:schemeClr w14:val="tx1"/>
            </w14:solidFill>
          </w14:textFill>
        </w:rPr>
        <w:t>开标。</w:t>
      </w:r>
    </w:p>
    <w:p w14:paraId="1E695951">
      <w:pPr>
        <w:keepNext w:val="0"/>
        <w:keepLines w:val="0"/>
        <w:pageBreakBefore w:val="0"/>
        <w:widowControl w:val="0"/>
        <w:numPr>
          <w:ilvl w:val="0"/>
          <w:numId w:val="0"/>
        </w:numPr>
        <w:kinsoku/>
        <w:wordWrap/>
        <w:overflowPunct/>
        <w:bidi w:val="0"/>
        <w:spacing w:line="360" w:lineRule="auto"/>
        <w:ind w:firstLine="482" w:firstLineChars="200"/>
        <w:jc w:val="left"/>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lang w:val="en-US" w:eastAsia="zh-CN"/>
          <w14:textFill>
            <w14:solidFill>
              <w14:schemeClr w14:val="tx1"/>
            </w14:solidFill>
          </w14:textFill>
        </w:rPr>
        <w:t>二、</w:t>
      </w:r>
      <w:r>
        <w:rPr>
          <w:rFonts w:hint="eastAsia" w:ascii="仿宋" w:hAnsi="仿宋" w:eastAsia="仿宋" w:cs="仿宋"/>
          <w:b/>
          <w:bCs/>
          <w:color w:val="000000" w:themeColor="text1"/>
          <w:kern w:val="0"/>
          <w:sz w:val="24"/>
          <w14:textFill>
            <w14:solidFill>
              <w14:schemeClr w14:val="tx1"/>
            </w14:solidFill>
          </w14:textFill>
        </w:rPr>
        <w:t>评审标准</w:t>
      </w:r>
    </w:p>
    <w:p w14:paraId="5D986CB5">
      <w:pPr>
        <w:keepNext w:val="0"/>
        <w:keepLines w:val="0"/>
        <w:pageBreakBefore w:val="0"/>
        <w:widowControl w:val="0"/>
        <w:numPr>
          <w:ilvl w:val="0"/>
          <w:numId w:val="1"/>
        </w:numPr>
        <w:kinsoku/>
        <w:wordWrap/>
        <w:overflowPunct/>
        <w:bidi w:val="0"/>
        <w:spacing w:line="360" w:lineRule="auto"/>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资格评审标准：见本章附表1《资格审查评审表》；</w:t>
      </w:r>
    </w:p>
    <w:p w14:paraId="79220599">
      <w:pPr>
        <w:pStyle w:val="5"/>
        <w:keepNext w:val="0"/>
        <w:keepLines w:val="0"/>
        <w:pageBreakBefore w:val="0"/>
        <w:widowControl w:val="0"/>
        <w:numPr>
          <w:ilvl w:val="0"/>
          <w:numId w:val="1"/>
        </w:numPr>
        <w:kinsoku/>
        <w:wordWrap/>
        <w:overflowPunct/>
        <w:bidi w:val="0"/>
        <w:spacing w:line="360" w:lineRule="auto"/>
        <w:ind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初步评审标准：见本章附表2《初步审查评审表》；</w:t>
      </w:r>
    </w:p>
    <w:p w14:paraId="00B896D4">
      <w:pPr>
        <w:pStyle w:val="5"/>
        <w:keepNext w:val="0"/>
        <w:keepLines w:val="0"/>
        <w:pageBreakBefore w:val="0"/>
        <w:widowControl w:val="0"/>
        <w:numPr>
          <w:ilvl w:val="0"/>
          <w:numId w:val="1"/>
        </w:numPr>
        <w:kinsoku/>
        <w:wordWrap/>
        <w:overflowPunct/>
        <w:bidi w:val="0"/>
        <w:spacing w:line="360" w:lineRule="auto"/>
        <w:ind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详细评审标准：</w:t>
      </w:r>
    </w:p>
    <w:p w14:paraId="7370A786">
      <w:pPr>
        <w:pStyle w:val="5"/>
        <w:keepNext w:val="0"/>
        <w:keepLines w:val="0"/>
        <w:pageBreakBefore w:val="0"/>
        <w:widowControl w:val="0"/>
        <w:numPr>
          <w:ilvl w:val="0"/>
          <w:numId w:val="2"/>
        </w:numPr>
        <w:kinsoku/>
        <w:wordWrap/>
        <w:overflowPunct/>
        <w:bidi w:val="0"/>
        <w:spacing w:line="360" w:lineRule="auto"/>
        <w:ind w:left="240" w:firstLine="24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权重取值：商务部分</w:t>
      </w:r>
      <w:r>
        <w:rPr>
          <w:rFonts w:hint="eastAsia" w:ascii="仿宋" w:hAnsi="仿宋" w:eastAsia="仿宋" w:cs="仿宋"/>
          <w:color w:val="000000" w:themeColor="text1"/>
          <w:sz w:val="24"/>
          <w:szCs w:val="24"/>
          <w:lang w:val="en-US" w:eastAsia="zh-CN"/>
          <w14:textFill>
            <w14:solidFill>
              <w14:schemeClr w14:val="tx1"/>
            </w14:solidFill>
          </w14:textFill>
        </w:rPr>
        <w:t>40</w:t>
      </w:r>
      <w:r>
        <w:rPr>
          <w:rFonts w:hint="eastAsia" w:ascii="仿宋" w:hAnsi="仿宋" w:eastAsia="仿宋" w:cs="仿宋"/>
          <w:color w:val="000000" w:themeColor="text1"/>
          <w:sz w:val="24"/>
          <w:szCs w:val="24"/>
          <w14:textFill>
            <w14:solidFill>
              <w14:schemeClr w14:val="tx1"/>
            </w14:solidFill>
          </w14:textFill>
        </w:rPr>
        <w:t>分，技术方案评审</w:t>
      </w:r>
      <w:r>
        <w:rPr>
          <w:rFonts w:hint="eastAsia" w:ascii="仿宋" w:hAnsi="仿宋" w:eastAsia="仿宋" w:cs="仿宋"/>
          <w:color w:val="000000" w:themeColor="text1"/>
          <w:sz w:val="24"/>
          <w:szCs w:val="24"/>
          <w:lang w:val="en-US" w:eastAsia="zh-CN"/>
          <w14:textFill>
            <w14:solidFill>
              <w14:schemeClr w14:val="tx1"/>
            </w14:solidFill>
          </w14:textFill>
        </w:rPr>
        <w:t>60</w:t>
      </w:r>
      <w:r>
        <w:rPr>
          <w:rFonts w:hint="eastAsia" w:ascii="仿宋" w:hAnsi="仿宋" w:eastAsia="仿宋" w:cs="仿宋"/>
          <w:color w:val="000000" w:themeColor="text1"/>
          <w:sz w:val="24"/>
          <w:szCs w:val="24"/>
          <w14:textFill>
            <w14:solidFill>
              <w14:schemeClr w14:val="tx1"/>
            </w14:solidFill>
          </w14:textFill>
        </w:rPr>
        <w:t>分；</w:t>
      </w:r>
    </w:p>
    <w:p w14:paraId="19644123">
      <w:pPr>
        <w:pStyle w:val="5"/>
        <w:keepNext w:val="0"/>
        <w:keepLines w:val="0"/>
        <w:pageBreakBefore w:val="0"/>
        <w:widowControl w:val="0"/>
        <w:numPr>
          <w:ilvl w:val="0"/>
          <w:numId w:val="2"/>
        </w:numPr>
        <w:kinsoku/>
        <w:wordWrap/>
        <w:overflowPunct/>
        <w:bidi w:val="0"/>
        <w:spacing w:line="360" w:lineRule="auto"/>
        <w:ind w:left="240" w:firstLine="24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商务部分标准：见本章附表</w:t>
      </w: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《商务部分评审表》；</w:t>
      </w:r>
    </w:p>
    <w:p w14:paraId="29B4841C">
      <w:pPr>
        <w:pStyle w:val="5"/>
        <w:keepNext w:val="0"/>
        <w:keepLines w:val="0"/>
        <w:pageBreakBefore w:val="0"/>
        <w:widowControl w:val="0"/>
        <w:numPr>
          <w:ilvl w:val="0"/>
          <w:numId w:val="2"/>
        </w:numPr>
        <w:kinsoku/>
        <w:wordWrap/>
        <w:overflowPunct/>
        <w:bidi w:val="0"/>
        <w:spacing w:line="360" w:lineRule="auto"/>
        <w:ind w:left="240" w:firstLine="24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技术方案评审：见本章附表</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《技术方案评审表》；</w:t>
      </w:r>
    </w:p>
    <w:p w14:paraId="50983D97">
      <w:pPr>
        <w:pStyle w:val="5"/>
        <w:keepNext w:val="0"/>
        <w:keepLines w:val="0"/>
        <w:pageBreakBefore w:val="0"/>
        <w:widowControl w:val="0"/>
        <w:kinsoku/>
        <w:wordWrap/>
        <w:overflowPunct/>
        <w:bidi w:val="0"/>
        <w:spacing w:line="360" w:lineRule="auto"/>
        <w:ind w:left="210" w:leftChars="100"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比选申请人综合得分=商务部分得分+技术方案得分。</w:t>
      </w:r>
    </w:p>
    <w:p w14:paraId="087CF086">
      <w:pPr>
        <w:pStyle w:val="5"/>
        <w:keepNext w:val="0"/>
        <w:keepLines w:val="0"/>
        <w:pageBreakBefore w:val="0"/>
        <w:widowControl w:val="0"/>
        <w:numPr>
          <w:ilvl w:val="0"/>
          <w:numId w:val="0"/>
        </w:numPr>
        <w:kinsoku/>
        <w:wordWrap/>
        <w:overflowPunct/>
        <w:bidi w:val="0"/>
        <w:spacing w:line="360" w:lineRule="auto"/>
        <w:ind w:firstLine="482" w:firstLineChars="2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三、</w:t>
      </w:r>
      <w:r>
        <w:rPr>
          <w:rFonts w:hint="eastAsia" w:ascii="仿宋" w:hAnsi="仿宋" w:eastAsia="仿宋" w:cs="仿宋"/>
          <w:b/>
          <w:bCs/>
          <w:color w:val="000000" w:themeColor="text1"/>
          <w:sz w:val="24"/>
          <w:szCs w:val="24"/>
          <w14:textFill>
            <w14:solidFill>
              <w14:schemeClr w14:val="tx1"/>
            </w14:solidFill>
          </w14:textFill>
        </w:rPr>
        <w:t>比选程序</w:t>
      </w:r>
    </w:p>
    <w:p w14:paraId="7103B869">
      <w:pPr>
        <w:pStyle w:val="5"/>
        <w:numPr>
          <w:ilvl w:val="0"/>
          <w:numId w:val="0"/>
        </w:numPr>
        <w:spacing w:line="360" w:lineRule="auto"/>
        <w:ind w:firstLine="480" w:firstLineChars="200"/>
        <w:jc w:val="left"/>
        <w:rPr>
          <w:rFonts w:hint="default"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auto"/>
          <w:sz w:val="24"/>
          <w:szCs w:val="24"/>
          <w:highlight w:val="none"/>
        </w:rPr>
        <w:t>成立比选评标委员会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pacing w:val="15"/>
          <w:kern w:val="0"/>
          <w:sz w:val="24"/>
          <w:highlight w:val="none"/>
          <w:lang w:val="en-US" w:eastAsia="zh-CN"/>
        </w:rPr>
        <w:t>招标人在开标日前一天，在公司纪检部门的监督下从湖南省专家评委库蓝山籍中随机抽取3人</w:t>
      </w:r>
      <w:r>
        <w:rPr>
          <w:rFonts w:hint="eastAsia" w:ascii="仿宋" w:hAnsi="仿宋" w:eastAsia="仿宋" w:cs="仿宋"/>
          <w:color w:val="FF0000"/>
          <w:spacing w:val="15"/>
          <w:kern w:val="0"/>
          <w:sz w:val="24"/>
          <w:highlight w:val="none"/>
          <w:lang w:val="en-US" w:eastAsia="zh-CN"/>
        </w:rPr>
        <w:t>和业主评委2人</w:t>
      </w:r>
      <w:r>
        <w:rPr>
          <w:rFonts w:hint="eastAsia" w:ascii="仿宋" w:hAnsi="仿宋" w:eastAsia="仿宋" w:cs="仿宋"/>
          <w:color w:val="auto"/>
          <w:spacing w:val="15"/>
          <w:kern w:val="0"/>
          <w:sz w:val="24"/>
          <w:highlight w:val="none"/>
          <w:lang w:val="en-US" w:eastAsia="zh-CN"/>
        </w:rPr>
        <w:t>组成无领导小组比选评标委员会，共计5人。</w:t>
      </w:r>
    </w:p>
    <w:p w14:paraId="311341FE">
      <w:pPr>
        <w:pStyle w:val="5"/>
        <w:keepNext w:val="0"/>
        <w:keepLines w:val="0"/>
        <w:pageBreakBefore w:val="0"/>
        <w:widowControl w:val="0"/>
        <w:numPr>
          <w:ilvl w:val="0"/>
          <w:numId w:val="0"/>
        </w:numPr>
        <w:kinsoku/>
        <w:wordWrap/>
        <w:overflowPunct/>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资格性评审；</w:t>
      </w:r>
    </w:p>
    <w:p w14:paraId="63A9D05E">
      <w:pPr>
        <w:pStyle w:val="5"/>
        <w:keepNext w:val="0"/>
        <w:keepLines w:val="0"/>
        <w:pageBreakBefore w:val="0"/>
        <w:widowControl w:val="0"/>
        <w:numPr>
          <w:ilvl w:val="0"/>
          <w:numId w:val="0"/>
        </w:numPr>
        <w:kinsoku/>
        <w:wordWrap/>
        <w:overflowPunct/>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初步评审；</w:t>
      </w:r>
    </w:p>
    <w:p w14:paraId="71DC47A4">
      <w:pPr>
        <w:pStyle w:val="5"/>
        <w:keepNext w:val="0"/>
        <w:keepLines w:val="0"/>
        <w:pageBreakBefore w:val="0"/>
        <w:widowControl w:val="0"/>
        <w:numPr>
          <w:ilvl w:val="0"/>
          <w:numId w:val="0"/>
        </w:numPr>
        <w:kinsoku/>
        <w:wordWrap/>
        <w:overflowPunct/>
        <w:bidi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详细评审；</w:t>
      </w:r>
    </w:p>
    <w:p w14:paraId="33090206">
      <w:pPr>
        <w:pStyle w:val="5"/>
        <w:keepNext w:val="0"/>
        <w:keepLines w:val="0"/>
        <w:pageBreakBefore w:val="0"/>
        <w:widowControl w:val="0"/>
        <w:kinsoku/>
        <w:wordWrap/>
        <w:overflowPunct/>
        <w:bidi w:val="0"/>
        <w:spacing w:line="360" w:lineRule="auto"/>
        <w:ind w:left="0" w:leftChars="0"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推荐中标候选人。</w:t>
      </w:r>
    </w:p>
    <w:p w14:paraId="31E7FF26">
      <w:pPr>
        <w:keepNext w:val="0"/>
        <w:keepLines w:val="0"/>
        <w:pageBreakBefore w:val="0"/>
        <w:widowControl w:val="0"/>
        <w:kinsoku/>
        <w:wordWrap/>
        <w:overflowPunct/>
        <w:bidi w:val="0"/>
        <w:spacing w:line="360" w:lineRule="auto"/>
        <w:ind w:firstLine="482" w:firstLineChars="200"/>
        <w:jc w:val="left"/>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lang w:val="en-US" w:eastAsia="zh-CN"/>
          <w14:textFill>
            <w14:solidFill>
              <w14:schemeClr w14:val="tx1"/>
            </w14:solidFill>
          </w14:textFill>
        </w:rPr>
        <w:t>四</w:t>
      </w:r>
      <w:r>
        <w:rPr>
          <w:rFonts w:hint="eastAsia" w:ascii="仿宋" w:hAnsi="仿宋" w:eastAsia="仿宋" w:cs="仿宋"/>
          <w:b/>
          <w:bCs/>
          <w:color w:val="000000" w:themeColor="text1"/>
          <w:kern w:val="0"/>
          <w:sz w:val="24"/>
          <w14:textFill>
            <w14:solidFill>
              <w14:schemeClr w14:val="tx1"/>
            </w14:solidFill>
          </w14:textFill>
        </w:rPr>
        <w:t>、申请人出现以下情况之一，其比选申请文件为无效申请文件：</w:t>
      </w:r>
    </w:p>
    <w:p w14:paraId="2C503846">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1</w:t>
      </w:r>
      <w:r>
        <w:rPr>
          <w:rFonts w:hint="eastAsia" w:ascii="仿宋" w:hAnsi="仿宋" w:eastAsia="仿宋" w:cs="仿宋"/>
          <w:color w:val="000000" w:themeColor="text1"/>
          <w:spacing w:val="15"/>
          <w:kern w:val="0"/>
          <w:sz w:val="24"/>
          <w14:textFill>
            <w14:solidFill>
              <w14:schemeClr w14:val="tx1"/>
            </w14:solidFill>
          </w14:textFill>
        </w:rPr>
        <w:t>、比选申请文件中有弄虚作假的内容。（如假证书、假业绩、隐瞒不良行为记录、夸大荣誉、使用非本单位在职员工的相关证件等），在签订合同之前，招标人如发现中标人的比选申请文件有弄虚作假内容，招标人可拒绝与其签订合同，并要求中标人赔偿损失。</w:t>
      </w:r>
    </w:p>
    <w:p w14:paraId="24EE9859">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2</w:t>
      </w:r>
      <w:r>
        <w:rPr>
          <w:rFonts w:hint="eastAsia" w:ascii="仿宋" w:hAnsi="仿宋" w:eastAsia="仿宋" w:cs="仿宋"/>
          <w:color w:val="000000" w:themeColor="text1"/>
          <w:spacing w:val="15"/>
          <w:kern w:val="0"/>
          <w:sz w:val="24"/>
          <w14:textFill>
            <w14:solidFill>
              <w14:schemeClr w14:val="tx1"/>
            </w14:solidFill>
          </w14:textFill>
        </w:rPr>
        <w:t>、比选申请文件附有招标人不能接受的条件。</w:t>
      </w:r>
    </w:p>
    <w:p w14:paraId="2F5078AE">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3</w:t>
      </w:r>
      <w:r>
        <w:rPr>
          <w:rFonts w:hint="eastAsia" w:ascii="仿宋" w:hAnsi="仿宋" w:eastAsia="仿宋" w:cs="仿宋"/>
          <w:color w:val="000000" w:themeColor="text1"/>
          <w:spacing w:val="15"/>
          <w:kern w:val="0"/>
          <w:sz w:val="24"/>
          <w14:textFill>
            <w14:solidFill>
              <w14:schemeClr w14:val="tx1"/>
            </w14:solidFill>
          </w14:textFill>
        </w:rPr>
        <w:t>、投标有效期不足。</w:t>
      </w:r>
    </w:p>
    <w:p w14:paraId="4EBFF1FD">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4</w:t>
      </w:r>
      <w:r>
        <w:rPr>
          <w:rFonts w:hint="eastAsia" w:ascii="仿宋" w:hAnsi="仿宋" w:eastAsia="仿宋" w:cs="仿宋"/>
          <w:color w:val="000000" w:themeColor="text1"/>
          <w:spacing w:val="15"/>
          <w:kern w:val="0"/>
          <w:sz w:val="24"/>
          <w14:textFill>
            <w14:solidFill>
              <w14:schemeClr w14:val="tx1"/>
            </w14:solidFill>
          </w14:textFill>
        </w:rPr>
        <w:t>、资格性评审及初步评审不合格的。</w:t>
      </w:r>
    </w:p>
    <w:p w14:paraId="7A7153DA">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5</w:t>
      </w:r>
      <w:r>
        <w:rPr>
          <w:rFonts w:hint="eastAsia" w:ascii="仿宋" w:hAnsi="仿宋" w:eastAsia="仿宋" w:cs="仿宋"/>
          <w:color w:val="000000" w:themeColor="text1"/>
          <w:spacing w:val="15"/>
          <w:kern w:val="0"/>
          <w:sz w:val="24"/>
          <w14:textFill>
            <w14:solidFill>
              <w14:schemeClr w14:val="tx1"/>
            </w14:solidFill>
          </w14:textFill>
        </w:rPr>
        <w:t>、出现两个或两个以上报价的。</w:t>
      </w:r>
    </w:p>
    <w:p w14:paraId="6A41D392">
      <w:pPr>
        <w:keepNext w:val="0"/>
        <w:keepLines w:val="0"/>
        <w:pageBreakBefore w:val="0"/>
        <w:widowControl w:val="0"/>
        <w:kinsoku/>
        <w:wordWrap/>
        <w:overflowPunct/>
        <w:bidi w:val="0"/>
        <w:spacing w:line="360" w:lineRule="auto"/>
        <w:ind w:left="311"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lang w:val="en-US" w:eastAsia="zh-CN"/>
          <w14:textFill>
            <w14:solidFill>
              <w14:schemeClr w14:val="tx1"/>
            </w14:solidFill>
          </w14:textFill>
        </w:rPr>
        <w:t>6</w:t>
      </w:r>
      <w:r>
        <w:rPr>
          <w:rFonts w:hint="eastAsia" w:ascii="仿宋" w:hAnsi="仿宋" w:eastAsia="仿宋" w:cs="仿宋"/>
          <w:color w:val="000000" w:themeColor="text1"/>
          <w:spacing w:val="15"/>
          <w:kern w:val="0"/>
          <w:sz w:val="24"/>
          <w14:textFill>
            <w14:solidFill>
              <w14:schemeClr w14:val="tx1"/>
            </w14:solidFill>
          </w14:textFill>
        </w:rPr>
        <w:t>、出现关键内容字迹模糊无法辩认的。</w:t>
      </w:r>
    </w:p>
    <w:p w14:paraId="0E7D1BAA">
      <w:pPr>
        <w:widowControl/>
        <w:spacing w:line="360" w:lineRule="auto"/>
        <w:outlineLvl w:val="9"/>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14:textFill>
            <w14:solidFill>
              <w14:schemeClr w14:val="tx1"/>
            </w14:solidFill>
          </w14:textFill>
        </w:rPr>
        <w:br w:type="page"/>
      </w:r>
      <w:r>
        <w:rPr>
          <w:rFonts w:hint="eastAsia" w:ascii="仿宋" w:hAnsi="仿宋" w:eastAsia="仿宋" w:cs="仿宋"/>
          <w:color w:val="000000" w:themeColor="text1"/>
          <w:spacing w:val="15"/>
          <w:kern w:val="0"/>
          <w:sz w:val="24"/>
          <w:highlight w:val="none"/>
          <w14:textFill>
            <w14:solidFill>
              <w14:schemeClr w14:val="tx1"/>
            </w14:solidFill>
          </w14:textFill>
        </w:rPr>
        <w:t>附表1：</w:t>
      </w:r>
    </w:p>
    <w:p w14:paraId="209EC18C">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资格性评审表</w:t>
      </w:r>
    </w:p>
    <w:tbl>
      <w:tblPr>
        <w:tblStyle w:val="6"/>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6395"/>
        <w:gridCol w:w="1870"/>
      </w:tblGrid>
      <w:tr w14:paraId="7830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14" w:type="dxa"/>
            <w:vAlign w:val="center"/>
          </w:tcPr>
          <w:p w14:paraId="719F654B">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序号</w:t>
            </w:r>
          </w:p>
        </w:tc>
        <w:tc>
          <w:tcPr>
            <w:tcW w:w="6395" w:type="dxa"/>
            <w:vAlign w:val="center"/>
          </w:tcPr>
          <w:p w14:paraId="3C5705B9">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评审内容及标准</w:t>
            </w:r>
          </w:p>
        </w:tc>
        <w:tc>
          <w:tcPr>
            <w:tcW w:w="1870" w:type="dxa"/>
            <w:vAlign w:val="center"/>
          </w:tcPr>
          <w:p w14:paraId="226E88F9">
            <w:pPr>
              <w:pStyle w:val="5"/>
              <w:jc w:val="both"/>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合格/不合格</w:t>
            </w:r>
          </w:p>
        </w:tc>
      </w:tr>
      <w:tr w14:paraId="5F72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14" w:type="dxa"/>
            <w:vAlign w:val="center"/>
          </w:tcPr>
          <w:p w14:paraId="139CA357">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1</w:t>
            </w:r>
          </w:p>
        </w:tc>
        <w:tc>
          <w:tcPr>
            <w:tcW w:w="6395" w:type="dxa"/>
            <w:vAlign w:val="top"/>
          </w:tcPr>
          <w:p w14:paraId="3E6848FF">
            <w:pPr>
              <w:pStyle w:val="5"/>
              <w:ind w:left="0" w:leftChars="0" w:firstLine="0" w:firstLineChars="0"/>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zCs w:val="16"/>
                <w:highlight w:val="none"/>
                <w14:textFill>
                  <w14:solidFill>
                    <w14:schemeClr w14:val="tx1"/>
                  </w14:solidFill>
                </w14:textFill>
              </w:rPr>
              <w:t>具有独立法人资格，持有有效的营业执照。</w:t>
            </w:r>
          </w:p>
        </w:tc>
        <w:tc>
          <w:tcPr>
            <w:tcW w:w="1870" w:type="dxa"/>
            <w:vAlign w:val="top"/>
          </w:tcPr>
          <w:p w14:paraId="36315DA4">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73B1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14" w:type="dxa"/>
            <w:vAlign w:val="center"/>
          </w:tcPr>
          <w:p w14:paraId="564E8942">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2</w:t>
            </w:r>
          </w:p>
        </w:tc>
        <w:tc>
          <w:tcPr>
            <w:tcW w:w="6395" w:type="dxa"/>
            <w:vAlign w:val="top"/>
          </w:tcPr>
          <w:p w14:paraId="2079714F">
            <w:pPr>
              <w:pStyle w:val="5"/>
              <w:ind w:left="0" w:leftChars="0" w:firstLine="0" w:firstLineChars="0"/>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lang w:val="en-US" w:eastAsia="zh-CN"/>
                <w14:textFill>
                  <w14:solidFill>
                    <w14:schemeClr w14:val="tx1"/>
                  </w14:solidFill>
                </w14:textFill>
              </w:rPr>
              <w:t>申请人</w:t>
            </w:r>
            <w:r>
              <w:rPr>
                <w:rFonts w:ascii="仿宋" w:hAnsi="仿宋" w:eastAsia="仿宋" w:cs="仿宋"/>
                <w:color w:val="000000" w:themeColor="text1"/>
                <w:spacing w:val="15"/>
                <w:kern w:val="0"/>
                <w:szCs w:val="16"/>
                <w:highlight w:val="none"/>
                <w14:textFill>
                  <w14:solidFill>
                    <w14:schemeClr w14:val="tx1"/>
                  </w14:solidFill>
                </w14:textFill>
              </w:rPr>
              <w:t>须在</w:t>
            </w:r>
            <w:r>
              <w:rPr>
                <w:rFonts w:hint="eastAsia" w:ascii="仿宋" w:hAnsi="仿宋" w:eastAsia="仿宋" w:cs="仿宋"/>
                <w:color w:val="000000" w:themeColor="text1"/>
                <w:spacing w:val="15"/>
                <w:kern w:val="0"/>
                <w:szCs w:val="16"/>
                <w:highlight w:val="none"/>
                <w14:textFill>
                  <w14:solidFill>
                    <w14:schemeClr w14:val="tx1"/>
                  </w14:solidFill>
                </w14:textFill>
              </w:rPr>
              <w:t>湖南省招标投标监管网</w:t>
            </w:r>
            <w:r>
              <w:rPr>
                <w:rFonts w:hint="eastAsia" w:ascii="仿宋" w:hAnsi="仿宋" w:eastAsia="仿宋" w:cs="仿宋"/>
                <w:color w:val="000000" w:themeColor="text1"/>
                <w:spacing w:val="15"/>
                <w:kern w:val="0"/>
                <w:szCs w:val="16"/>
                <w:highlight w:val="none"/>
                <w:lang w:val="en-US" w:eastAsia="zh-CN"/>
                <w14:textFill>
                  <w14:solidFill>
                    <w14:schemeClr w14:val="tx1"/>
                  </w14:solidFill>
                </w14:textFill>
              </w:rPr>
              <w:t>或</w:t>
            </w:r>
            <w:r>
              <w:rPr>
                <w:rFonts w:ascii="仿宋" w:hAnsi="仿宋" w:eastAsia="仿宋" w:cs="仿宋"/>
                <w:color w:val="000000" w:themeColor="text1"/>
                <w:spacing w:val="15"/>
                <w:kern w:val="0"/>
                <w:szCs w:val="16"/>
                <w:highlight w:val="none"/>
                <w14:textFill>
                  <w14:solidFill>
                    <w14:schemeClr w14:val="tx1"/>
                  </w14:solidFill>
                </w14:textFill>
              </w:rPr>
              <w:t>湖南省住房和城乡建设厅--智慧住建云平台登记备案(提供网站查询结果)。</w:t>
            </w:r>
          </w:p>
        </w:tc>
        <w:tc>
          <w:tcPr>
            <w:tcW w:w="1870" w:type="dxa"/>
            <w:vAlign w:val="top"/>
          </w:tcPr>
          <w:p w14:paraId="74AF78D1">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2BF4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1214" w:type="dxa"/>
            <w:vAlign w:val="center"/>
          </w:tcPr>
          <w:p w14:paraId="1AC0B0C4">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3</w:t>
            </w:r>
          </w:p>
        </w:tc>
        <w:tc>
          <w:tcPr>
            <w:tcW w:w="6395" w:type="dxa"/>
            <w:vAlign w:val="top"/>
          </w:tcPr>
          <w:p w14:paraId="0F98EF6B">
            <w:pPr>
              <w:pStyle w:val="5"/>
              <w:ind w:left="0" w:leftChars="0" w:firstLine="0" w:firstLineChars="0"/>
              <w:rPr>
                <w:rFonts w:ascii="仿宋" w:hAnsi="仿宋" w:eastAsia="仿宋" w:cs="仿宋"/>
                <w:color w:val="000000" w:themeColor="text1"/>
                <w:szCs w:val="16"/>
                <w:highlight w:val="none"/>
                <w14:textFill>
                  <w14:solidFill>
                    <w14:schemeClr w14:val="tx1"/>
                  </w14:solidFill>
                </w14:textFill>
              </w:rPr>
            </w:pPr>
            <w:r>
              <w:rPr>
                <w:rFonts w:hint="eastAsia" w:ascii="仿宋" w:hAnsi="仿宋" w:eastAsia="仿宋" w:cs="仿宋"/>
                <w:color w:val="000000" w:themeColor="text1"/>
                <w:szCs w:val="16"/>
                <w:highlight w:val="none"/>
                <w14:textFill>
                  <w14:solidFill>
                    <w14:schemeClr w14:val="tx1"/>
                  </w14:solidFill>
                </w14:textFill>
              </w:rPr>
              <w:t>项目负责人资格要求：湖南省招标投标监管网登记的从业人员</w:t>
            </w:r>
            <w:r>
              <w:rPr>
                <w:rFonts w:hint="eastAsia" w:ascii="仿宋" w:hAnsi="仿宋" w:eastAsia="仿宋" w:cs="仿宋"/>
                <w:color w:val="000000" w:themeColor="text1"/>
                <w:szCs w:val="16"/>
                <w:highlight w:val="none"/>
                <w:lang w:val="en-US" w:eastAsia="zh-CN"/>
                <w14:textFill>
                  <w14:solidFill>
                    <w14:schemeClr w14:val="tx1"/>
                  </w14:solidFill>
                </w14:textFill>
              </w:rPr>
              <w:t>并</w:t>
            </w:r>
            <w:r>
              <w:rPr>
                <w:rFonts w:hint="eastAsia" w:ascii="仿宋" w:hAnsi="仿宋" w:eastAsia="仿宋" w:cs="仿宋"/>
                <w:color w:val="000000" w:themeColor="text1"/>
                <w:szCs w:val="16"/>
                <w:highlight w:val="none"/>
                <w14:textFill>
                  <w14:solidFill>
                    <w14:schemeClr w14:val="tx1"/>
                  </w14:solidFill>
                </w14:textFill>
              </w:rPr>
              <w:t>具有工程建设类中级及以上职称证书或注册类证书（注册建造师证或注册总监理工程师证或注册建筑师证或招标师证），且为申请单位正式员工（提供本单位为其缴纳</w:t>
            </w:r>
            <w:r>
              <w:rPr>
                <w:rFonts w:hint="eastAsia" w:ascii="仿宋" w:hAnsi="仿宋" w:eastAsia="仿宋" w:cs="仿宋"/>
                <w:color w:val="000000" w:themeColor="text1"/>
                <w:szCs w:val="16"/>
                <w:highlight w:val="none"/>
                <w:lang w:val="en-US" w:eastAsia="zh-CN"/>
                <w14:textFill>
                  <w14:solidFill>
                    <w14:schemeClr w14:val="tx1"/>
                  </w14:solidFill>
                </w14:textFill>
              </w:rPr>
              <w:t>不少于近3个月</w:t>
            </w:r>
            <w:r>
              <w:rPr>
                <w:rFonts w:hint="eastAsia" w:ascii="仿宋" w:hAnsi="仿宋" w:eastAsia="仿宋" w:cs="仿宋"/>
                <w:color w:val="000000" w:themeColor="text1"/>
                <w:szCs w:val="16"/>
                <w:highlight w:val="none"/>
                <w14:textFill>
                  <w14:solidFill>
                    <w14:schemeClr w14:val="tx1"/>
                  </w14:solidFill>
                </w14:textFill>
              </w:rPr>
              <w:t>社保证明）。</w:t>
            </w:r>
          </w:p>
        </w:tc>
        <w:tc>
          <w:tcPr>
            <w:tcW w:w="1870" w:type="dxa"/>
            <w:vAlign w:val="top"/>
          </w:tcPr>
          <w:p w14:paraId="1C8FC4F5">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05B5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1214" w:type="dxa"/>
            <w:vAlign w:val="center"/>
          </w:tcPr>
          <w:p w14:paraId="79B5CCC8">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4</w:t>
            </w:r>
          </w:p>
        </w:tc>
        <w:tc>
          <w:tcPr>
            <w:tcW w:w="6395" w:type="dxa"/>
            <w:vAlign w:val="top"/>
          </w:tcPr>
          <w:p w14:paraId="2BEC874F">
            <w:pPr>
              <w:widowControl/>
              <w:spacing w:line="360" w:lineRule="auto"/>
              <w:jc w:val="left"/>
              <w:textAlignment w:val="top"/>
              <w:rPr>
                <w:rFonts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具有良好的商业信誉，</w:t>
            </w:r>
            <w:r>
              <w:rPr>
                <w:rFonts w:hint="eastAsia" w:ascii="仿宋" w:hAnsi="仿宋" w:eastAsia="仿宋" w:cs="仿宋"/>
                <w:bCs/>
                <w:color w:val="000000" w:themeColor="text1"/>
                <w:szCs w:val="21"/>
                <w:highlight w:val="none"/>
                <w14:textFill>
                  <w14:solidFill>
                    <w14:schemeClr w14:val="tx1"/>
                  </w14:solidFill>
                </w14:textFill>
              </w:rPr>
              <w:t>未被信用中国网站（www.creditchina.gov.cn）</w:t>
            </w:r>
            <w:r>
              <w:rPr>
                <w:rFonts w:hint="eastAsia" w:ascii="仿宋" w:hAnsi="仿宋" w:eastAsia="仿宋" w:cs="仿宋"/>
                <w:color w:val="000000" w:themeColor="text1"/>
                <w:szCs w:val="21"/>
                <w:highlight w:val="none"/>
                <w14:textFill>
                  <w14:solidFill>
                    <w14:schemeClr w14:val="tx1"/>
                  </w14:solidFill>
                </w14:textFill>
              </w:rPr>
              <w:t>或国家企业信用信息公示系统（http://www.gsxt.gov.cn/）</w:t>
            </w:r>
            <w:r>
              <w:rPr>
                <w:rFonts w:hint="eastAsia" w:ascii="仿宋" w:hAnsi="仿宋" w:eastAsia="仿宋" w:cs="仿宋"/>
                <w:bCs/>
                <w:color w:val="000000" w:themeColor="text1"/>
                <w:szCs w:val="21"/>
                <w:highlight w:val="none"/>
                <w14:textFill>
                  <w14:solidFill>
                    <w14:schemeClr w14:val="tx1"/>
                  </w14:solidFill>
                </w14:textFill>
              </w:rPr>
              <w:t>列入失信被执行人、重大税收违法案件当事人名单、政府采购严重违法失信行为记录名单</w:t>
            </w:r>
            <w:r>
              <w:rPr>
                <w:rFonts w:hint="eastAsia" w:ascii="仿宋" w:hAnsi="仿宋" w:eastAsia="仿宋" w:cs="仿宋"/>
                <w:color w:val="000000" w:themeColor="text1"/>
                <w:szCs w:val="21"/>
                <w:highlight w:val="none"/>
                <w14:textFill>
                  <w14:solidFill>
                    <w14:schemeClr w14:val="tx1"/>
                  </w14:solidFill>
                </w14:textFill>
              </w:rPr>
              <w:t>。</w:t>
            </w:r>
          </w:p>
        </w:tc>
        <w:tc>
          <w:tcPr>
            <w:tcW w:w="1870" w:type="dxa"/>
            <w:vAlign w:val="top"/>
          </w:tcPr>
          <w:p w14:paraId="65EF1DFC">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r w14:paraId="28DE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14" w:type="dxa"/>
            <w:vAlign w:val="center"/>
          </w:tcPr>
          <w:p w14:paraId="10A67310">
            <w:pPr>
              <w:pStyle w:val="5"/>
              <w:ind w:firstLine="240"/>
              <w:jc w:val="center"/>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spacing w:val="15"/>
                <w:kern w:val="0"/>
                <w:szCs w:val="16"/>
                <w:highlight w:val="none"/>
                <w14:textFill>
                  <w14:solidFill>
                    <w14:schemeClr w14:val="tx1"/>
                  </w14:solidFill>
                </w14:textFill>
              </w:rPr>
              <w:t>5</w:t>
            </w:r>
          </w:p>
        </w:tc>
        <w:tc>
          <w:tcPr>
            <w:tcW w:w="6395" w:type="dxa"/>
            <w:vAlign w:val="center"/>
          </w:tcPr>
          <w:p w14:paraId="77D0C4FE">
            <w:pPr>
              <w:pStyle w:val="5"/>
              <w:spacing w:line="360" w:lineRule="auto"/>
              <w:ind w:left="0" w:leftChars="0" w:firstLine="0" w:firstLineChars="0"/>
              <w:jc w:val="both"/>
              <w:rPr>
                <w:rFonts w:ascii="仿宋" w:hAnsi="仿宋" w:eastAsia="仿宋" w:cs="仿宋"/>
                <w:color w:val="000000" w:themeColor="text1"/>
                <w:spacing w:val="15"/>
                <w:kern w:val="0"/>
                <w:szCs w:val="16"/>
                <w:highlight w:val="none"/>
                <w14:textFill>
                  <w14:solidFill>
                    <w14:schemeClr w14:val="tx1"/>
                  </w14:solidFill>
                </w14:textFill>
              </w:rPr>
            </w:pPr>
            <w:r>
              <w:rPr>
                <w:rFonts w:hint="eastAsia" w:ascii="仿宋" w:hAnsi="仿宋" w:eastAsia="仿宋" w:cs="仿宋"/>
                <w:color w:val="000000" w:themeColor="text1"/>
                <w:kern w:val="0"/>
                <w:szCs w:val="16"/>
                <w:highlight w:val="none"/>
                <w14:textFill>
                  <w14:solidFill>
                    <w14:schemeClr w14:val="tx1"/>
                  </w14:solidFill>
                </w14:textFill>
              </w:rPr>
              <w:t>评审结果</w:t>
            </w:r>
          </w:p>
        </w:tc>
        <w:tc>
          <w:tcPr>
            <w:tcW w:w="1870" w:type="dxa"/>
            <w:vAlign w:val="top"/>
          </w:tcPr>
          <w:p w14:paraId="4316DBAF">
            <w:pPr>
              <w:pStyle w:val="5"/>
              <w:ind w:firstLine="240"/>
              <w:rPr>
                <w:rFonts w:ascii="仿宋" w:hAnsi="仿宋" w:eastAsia="仿宋" w:cs="仿宋"/>
                <w:color w:val="000000" w:themeColor="text1"/>
                <w:spacing w:val="15"/>
                <w:kern w:val="0"/>
                <w:szCs w:val="16"/>
                <w:highlight w:val="none"/>
                <w14:textFill>
                  <w14:solidFill>
                    <w14:schemeClr w14:val="tx1"/>
                  </w14:solidFill>
                </w14:textFill>
              </w:rPr>
            </w:pPr>
          </w:p>
        </w:tc>
      </w:tr>
    </w:tbl>
    <w:p w14:paraId="0B49DA7B">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16F9414D">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5B20E3E9">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029B477">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6C9D73C7">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B2C0C5A">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3A1671FD">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3D311810">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02C4C16">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48042A3">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1D772297">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12117133">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6D865935">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p>
    <w:p w14:paraId="5B3670F1">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p>
    <w:p w14:paraId="523CC477">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p>
    <w:p w14:paraId="33979863">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p>
    <w:p w14:paraId="7DD4029F">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p>
    <w:p w14:paraId="50344FC0">
      <w:pPr>
        <w:pStyle w:val="5"/>
        <w:keepNext w:val="0"/>
        <w:keepLines w:val="0"/>
        <w:pageBreakBefore w:val="0"/>
        <w:widowControl w:val="0"/>
        <w:kinsoku/>
        <w:wordWrap/>
        <w:overflowPunct/>
        <w:bidi w:val="0"/>
        <w:ind w:firstLine="540" w:firstLineChars="200"/>
        <w:rPr>
          <w:rFonts w:hint="eastAsia" w:ascii="仿宋" w:hAnsi="仿宋" w:eastAsia="仿宋" w:cs="仿宋"/>
          <w:color w:val="000000" w:themeColor="text1"/>
          <w:spacing w:val="15"/>
          <w:kern w:val="0"/>
          <w:sz w:val="24"/>
          <w14:textFill>
            <w14:solidFill>
              <w14:schemeClr w14:val="tx1"/>
            </w14:solidFill>
          </w14:textFill>
        </w:rPr>
      </w:pPr>
      <w:r>
        <w:rPr>
          <w:rFonts w:hint="eastAsia" w:ascii="仿宋" w:hAnsi="仿宋" w:eastAsia="仿宋" w:cs="仿宋"/>
          <w:color w:val="000000" w:themeColor="text1"/>
          <w:spacing w:val="15"/>
          <w:kern w:val="0"/>
          <w:sz w:val="24"/>
          <w14:textFill>
            <w14:solidFill>
              <w14:schemeClr w14:val="tx1"/>
            </w14:solidFill>
          </w14:textFill>
        </w:rPr>
        <w:t>附表2：</w:t>
      </w:r>
    </w:p>
    <w:p w14:paraId="6F32126E">
      <w:pPr>
        <w:pStyle w:val="5"/>
        <w:keepNext w:val="0"/>
        <w:keepLines w:val="0"/>
        <w:pageBreakBefore w:val="0"/>
        <w:widowControl w:val="0"/>
        <w:kinsoku/>
        <w:wordWrap/>
        <w:overflowPunct/>
        <w:bidi w:val="0"/>
        <w:ind w:firstLine="271"/>
        <w:jc w:val="center"/>
        <w:rPr>
          <w:rFonts w:ascii="仿宋" w:hAnsi="仿宋" w:eastAsia="仿宋" w:cs="仿宋"/>
          <w:b/>
          <w:bCs/>
          <w:color w:val="000000" w:themeColor="text1"/>
          <w:spacing w:val="15"/>
          <w:kern w:val="0"/>
          <w:sz w:val="24"/>
          <w14:textFill>
            <w14:solidFill>
              <w14:schemeClr w14:val="tx1"/>
            </w14:solidFill>
          </w14:textFill>
        </w:rPr>
      </w:pPr>
      <w:r>
        <w:rPr>
          <w:rFonts w:hint="eastAsia" w:ascii="仿宋" w:hAnsi="仿宋" w:eastAsia="仿宋" w:cs="仿宋"/>
          <w:b/>
          <w:bCs/>
          <w:color w:val="000000" w:themeColor="text1"/>
          <w:spacing w:val="15"/>
          <w:kern w:val="0"/>
          <w:sz w:val="24"/>
          <w14:textFill>
            <w14:solidFill>
              <w14:schemeClr w14:val="tx1"/>
            </w14:solidFill>
          </w14:textFill>
        </w:rPr>
        <w:t>初步评审表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6398"/>
        <w:gridCol w:w="1560"/>
      </w:tblGrid>
      <w:tr w14:paraId="5698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301" w:type="dxa"/>
            <w:vAlign w:val="center"/>
          </w:tcPr>
          <w:p w14:paraId="4F145BFE">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序号</w:t>
            </w:r>
          </w:p>
        </w:tc>
        <w:tc>
          <w:tcPr>
            <w:tcW w:w="6398" w:type="dxa"/>
            <w:vAlign w:val="center"/>
          </w:tcPr>
          <w:p w14:paraId="76E44341">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评审内容及标准</w:t>
            </w:r>
          </w:p>
        </w:tc>
        <w:tc>
          <w:tcPr>
            <w:tcW w:w="1560" w:type="dxa"/>
            <w:vAlign w:val="center"/>
          </w:tcPr>
          <w:p w14:paraId="557E8349">
            <w:pPr>
              <w:pStyle w:val="5"/>
              <w:keepNext w:val="0"/>
              <w:keepLines w:val="0"/>
              <w:pageBreakBefore w:val="0"/>
              <w:widowControl w:val="0"/>
              <w:kinsoku/>
              <w:wordWrap/>
              <w:overflowPunct/>
              <w:bidi w:val="0"/>
              <w:ind w:left="0" w:leftChars="0" w:firstLine="0" w:firstLineChars="0"/>
              <w:jc w:val="both"/>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16"/>
                <w14:textFill>
                  <w14:solidFill>
                    <w14:schemeClr w14:val="tx1"/>
                  </w14:solidFill>
                </w14:textFill>
              </w:rPr>
              <w:t>合格/不合格</w:t>
            </w:r>
          </w:p>
        </w:tc>
      </w:tr>
      <w:tr w14:paraId="078D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1" w:type="dxa"/>
            <w:vAlign w:val="center"/>
          </w:tcPr>
          <w:p w14:paraId="232E4C96">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1</w:t>
            </w:r>
          </w:p>
        </w:tc>
        <w:tc>
          <w:tcPr>
            <w:tcW w:w="6398" w:type="dxa"/>
            <w:vAlign w:val="center"/>
          </w:tcPr>
          <w:p w14:paraId="561BD54C">
            <w:pPr>
              <w:keepNext w:val="0"/>
              <w:keepLines w:val="0"/>
              <w:pageBreakBefore w:val="0"/>
              <w:widowControl w:val="0"/>
              <w:kinsoku/>
              <w:wordWrap/>
              <w:overflowPunct/>
              <w:bidi w:val="0"/>
              <w:spacing w:line="420" w:lineRule="exac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申请人</w:t>
            </w:r>
            <w:r>
              <w:rPr>
                <w:rFonts w:hint="eastAsia" w:ascii="仿宋" w:hAnsi="仿宋" w:eastAsia="仿宋" w:cs="仿宋"/>
                <w:color w:val="000000" w:themeColor="text1"/>
                <w:szCs w:val="21"/>
                <w14:textFill>
                  <w14:solidFill>
                    <w14:schemeClr w14:val="tx1"/>
                  </w14:solidFill>
                </w14:textFill>
              </w:rPr>
              <w:t>名称与营业执照上的名称一致；</w:t>
            </w:r>
          </w:p>
        </w:tc>
        <w:tc>
          <w:tcPr>
            <w:tcW w:w="1560" w:type="dxa"/>
            <w:vAlign w:val="top"/>
          </w:tcPr>
          <w:p w14:paraId="31985A2E">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r w14:paraId="4C86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301" w:type="dxa"/>
            <w:vAlign w:val="center"/>
          </w:tcPr>
          <w:p w14:paraId="6F7261FB">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2</w:t>
            </w:r>
          </w:p>
        </w:tc>
        <w:tc>
          <w:tcPr>
            <w:tcW w:w="6398" w:type="dxa"/>
            <w:vAlign w:val="center"/>
          </w:tcPr>
          <w:p w14:paraId="7F53BC06">
            <w:pPr>
              <w:keepNext w:val="0"/>
              <w:keepLines w:val="0"/>
              <w:pageBreakBefore w:val="0"/>
              <w:widowControl w:val="0"/>
              <w:kinsoku/>
              <w:wordWrap/>
              <w:overflowPunct/>
              <w:bidi w:val="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由法定代表人（或其委托代理人）签名（或加盖印章），并加盖</w:t>
            </w:r>
            <w:r>
              <w:rPr>
                <w:rFonts w:hint="eastAsia" w:ascii="仿宋" w:hAnsi="仿宋" w:eastAsia="仿宋" w:cs="仿宋"/>
                <w:color w:val="000000" w:themeColor="text1"/>
                <w:szCs w:val="21"/>
                <w:lang w:val="en-US" w:eastAsia="zh-CN"/>
                <w14:textFill>
                  <w14:solidFill>
                    <w14:schemeClr w14:val="tx1"/>
                  </w14:solidFill>
                </w14:textFill>
              </w:rPr>
              <w:t>申请人</w:t>
            </w:r>
            <w:r>
              <w:rPr>
                <w:rFonts w:hint="eastAsia" w:ascii="仿宋" w:hAnsi="仿宋" w:eastAsia="仿宋" w:cs="仿宋"/>
                <w:color w:val="000000" w:themeColor="text1"/>
                <w:szCs w:val="21"/>
                <w14:textFill>
                  <w14:solidFill>
                    <w14:schemeClr w14:val="tx1"/>
                  </w14:solidFill>
                </w14:textFill>
              </w:rPr>
              <w:t>的单位公章。</w:t>
            </w:r>
            <w:r>
              <w:rPr>
                <w:rFonts w:hint="eastAsia" w:ascii="仿宋" w:hAnsi="仿宋" w:eastAsia="仿宋" w:cs="仿宋"/>
                <w:color w:val="000000" w:themeColor="text1"/>
                <w:szCs w:val="21"/>
                <w:lang w:val="en-US" w:eastAsia="zh-CN"/>
                <w14:textFill>
                  <w14:solidFill>
                    <w14:schemeClr w14:val="tx1"/>
                  </w14:solidFill>
                </w14:textFill>
              </w:rPr>
              <w:t>申请人</w:t>
            </w:r>
            <w:r>
              <w:rPr>
                <w:rFonts w:hint="eastAsia" w:ascii="仿宋" w:hAnsi="仿宋" w:eastAsia="仿宋" w:cs="仿宋"/>
                <w:color w:val="000000" w:themeColor="text1"/>
                <w:szCs w:val="21"/>
                <w14:textFill>
                  <w14:solidFill>
                    <w14:schemeClr w14:val="tx1"/>
                  </w14:solidFill>
                </w14:textFill>
              </w:rPr>
              <w:t>加盖的单位公章与其营业执照的单位名称应当一致。</w:t>
            </w:r>
          </w:p>
        </w:tc>
        <w:tc>
          <w:tcPr>
            <w:tcW w:w="1560" w:type="dxa"/>
            <w:vAlign w:val="top"/>
          </w:tcPr>
          <w:p w14:paraId="147C6359">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r w14:paraId="3CFB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01" w:type="dxa"/>
            <w:vAlign w:val="center"/>
          </w:tcPr>
          <w:p w14:paraId="07C2E88D">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3</w:t>
            </w:r>
          </w:p>
        </w:tc>
        <w:tc>
          <w:tcPr>
            <w:tcW w:w="6398" w:type="dxa"/>
            <w:vAlign w:val="center"/>
          </w:tcPr>
          <w:p w14:paraId="17449FFC">
            <w:pPr>
              <w:keepNext w:val="0"/>
              <w:keepLines w:val="0"/>
              <w:pageBreakBefore w:val="0"/>
              <w:widowControl w:val="0"/>
              <w:kinsoku/>
              <w:wordWrap/>
              <w:overflowPunct/>
              <w:bidi w:val="0"/>
              <w:spacing w:line="240" w:lineRule="exac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申请人</w:t>
            </w:r>
            <w:r>
              <w:rPr>
                <w:rFonts w:hint="eastAsia" w:ascii="仿宋" w:hAnsi="仿宋" w:eastAsia="仿宋" w:cs="仿宋"/>
                <w:color w:val="000000" w:themeColor="text1"/>
                <w:szCs w:val="21"/>
                <w14:textFill>
                  <w14:solidFill>
                    <w14:schemeClr w14:val="tx1"/>
                  </w14:solidFill>
                </w14:textFill>
              </w:rPr>
              <w:t>未提交两份以上不同内容的申请文件。</w:t>
            </w:r>
          </w:p>
        </w:tc>
        <w:tc>
          <w:tcPr>
            <w:tcW w:w="1560" w:type="dxa"/>
            <w:vAlign w:val="top"/>
          </w:tcPr>
          <w:p w14:paraId="08215CC0">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r w14:paraId="326A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301" w:type="dxa"/>
            <w:vAlign w:val="center"/>
          </w:tcPr>
          <w:p w14:paraId="1B3982BE">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4</w:t>
            </w:r>
          </w:p>
        </w:tc>
        <w:tc>
          <w:tcPr>
            <w:tcW w:w="6398" w:type="dxa"/>
            <w:vAlign w:val="center"/>
          </w:tcPr>
          <w:p w14:paraId="14026855">
            <w:pPr>
              <w:keepNext w:val="0"/>
              <w:keepLines w:val="0"/>
              <w:pageBreakBefore w:val="0"/>
              <w:widowControl w:val="0"/>
              <w:kinsoku/>
              <w:wordWrap/>
              <w:overflowPunct/>
              <w:bidi w:val="0"/>
              <w:spacing w:line="240" w:lineRule="exac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代理报价响应</w:t>
            </w:r>
            <w:r>
              <w:rPr>
                <w:rFonts w:hint="eastAsia" w:ascii="仿宋" w:hAnsi="仿宋" w:eastAsia="仿宋" w:cs="仿宋"/>
                <w:color w:val="000000" w:themeColor="text1"/>
                <w:szCs w:val="21"/>
                <w:lang w:val="en-US" w:eastAsia="zh-CN"/>
                <w14:textFill>
                  <w14:solidFill>
                    <w14:schemeClr w14:val="tx1"/>
                  </w14:solidFill>
                </w14:textFill>
              </w:rPr>
              <w:t>比选</w:t>
            </w:r>
            <w:r>
              <w:rPr>
                <w:rFonts w:hint="eastAsia" w:ascii="仿宋" w:hAnsi="仿宋" w:eastAsia="仿宋" w:cs="仿宋"/>
                <w:color w:val="000000" w:themeColor="text1"/>
                <w:szCs w:val="21"/>
                <w14:textFill>
                  <w14:solidFill>
                    <w14:schemeClr w14:val="tx1"/>
                  </w14:solidFill>
                </w14:textFill>
              </w:rPr>
              <w:t>文件要求，并有有效承诺</w:t>
            </w:r>
          </w:p>
        </w:tc>
        <w:tc>
          <w:tcPr>
            <w:tcW w:w="1560" w:type="dxa"/>
            <w:vAlign w:val="top"/>
          </w:tcPr>
          <w:p w14:paraId="0DC33727">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r w14:paraId="571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301" w:type="dxa"/>
            <w:vAlign w:val="center"/>
          </w:tcPr>
          <w:p w14:paraId="337CC455">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5</w:t>
            </w:r>
          </w:p>
        </w:tc>
        <w:tc>
          <w:tcPr>
            <w:tcW w:w="6398" w:type="dxa"/>
            <w:vAlign w:val="center"/>
          </w:tcPr>
          <w:p w14:paraId="2E010F7D">
            <w:pPr>
              <w:keepNext w:val="0"/>
              <w:keepLines w:val="0"/>
              <w:pageBreakBefore w:val="0"/>
              <w:widowControl w:val="0"/>
              <w:kinsoku/>
              <w:wordWrap/>
              <w:overflowPunct/>
              <w:bidi w:val="0"/>
              <w:spacing w:line="240" w:lineRule="exact"/>
              <w:ind w:left="-210" w:leftChars="-100" w:firstLine="210" w:firstLineChars="1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比选</w:t>
            </w:r>
            <w:r>
              <w:rPr>
                <w:rFonts w:hint="eastAsia" w:ascii="仿宋" w:hAnsi="仿宋" w:eastAsia="仿宋" w:cs="仿宋"/>
                <w:color w:val="000000" w:themeColor="text1"/>
                <w:szCs w:val="21"/>
                <w14:textFill>
                  <w14:solidFill>
                    <w14:schemeClr w14:val="tx1"/>
                  </w14:solidFill>
                </w14:textFill>
              </w:rPr>
              <w:t>有效期符合</w:t>
            </w:r>
            <w:r>
              <w:rPr>
                <w:rFonts w:hint="eastAsia" w:ascii="仿宋" w:hAnsi="仿宋" w:eastAsia="仿宋" w:cs="仿宋"/>
                <w:color w:val="000000" w:themeColor="text1"/>
                <w:szCs w:val="21"/>
                <w:lang w:val="en-US" w:eastAsia="zh-CN"/>
                <w14:textFill>
                  <w14:solidFill>
                    <w14:schemeClr w14:val="tx1"/>
                  </w14:solidFill>
                </w14:textFill>
              </w:rPr>
              <w:t>比选</w:t>
            </w:r>
            <w:r>
              <w:rPr>
                <w:rFonts w:hint="eastAsia" w:ascii="仿宋" w:hAnsi="仿宋" w:eastAsia="仿宋" w:cs="仿宋"/>
                <w:color w:val="000000" w:themeColor="text1"/>
                <w:szCs w:val="21"/>
                <w14:textFill>
                  <w14:solidFill>
                    <w14:schemeClr w14:val="tx1"/>
                  </w14:solidFill>
                </w14:textFill>
              </w:rPr>
              <w:t>文件的规定。</w:t>
            </w:r>
          </w:p>
        </w:tc>
        <w:tc>
          <w:tcPr>
            <w:tcW w:w="1560" w:type="dxa"/>
            <w:vAlign w:val="top"/>
          </w:tcPr>
          <w:p w14:paraId="4AEF96DD">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r w14:paraId="273F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301" w:type="dxa"/>
            <w:vAlign w:val="center"/>
          </w:tcPr>
          <w:p w14:paraId="0D847E81">
            <w:pPr>
              <w:pStyle w:val="5"/>
              <w:keepNext w:val="0"/>
              <w:keepLines w:val="0"/>
              <w:pageBreakBefore w:val="0"/>
              <w:widowControl w:val="0"/>
              <w:kinsoku/>
              <w:wordWrap/>
              <w:overflowPunct/>
              <w:bidi w:val="0"/>
              <w:ind w:firstLine="240"/>
              <w:jc w:val="center"/>
              <w:rPr>
                <w:rFonts w:hint="eastAsia" w:ascii="仿宋" w:hAnsi="仿宋" w:eastAsia="仿宋" w:cs="仿宋"/>
                <w:color w:val="000000" w:themeColor="text1"/>
                <w:spacing w:val="15"/>
                <w:kern w:val="0"/>
                <w:szCs w:val="21"/>
                <w14:textFill>
                  <w14:solidFill>
                    <w14:schemeClr w14:val="tx1"/>
                  </w14:solidFill>
                </w14:textFill>
              </w:rPr>
            </w:pPr>
            <w:r>
              <w:rPr>
                <w:rFonts w:hint="eastAsia" w:ascii="仿宋" w:hAnsi="仿宋" w:eastAsia="仿宋" w:cs="仿宋"/>
                <w:color w:val="000000" w:themeColor="text1"/>
                <w:spacing w:val="15"/>
                <w:kern w:val="0"/>
                <w:szCs w:val="21"/>
                <w14:textFill>
                  <w14:solidFill>
                    <w14:schemeClr w14:val="tx1"/>
                  </w14:solidFill>
                </w14:textFill>
              </w:rPr>
              <w:t>6</w:t>
            </w:r>
          </w:p>
        </w:tc>
        <w:tc>
          <w:tcPr>
            <w:tcW w:w="6398" w:type="dxa"/>
            <w:vAlign w:val="center"/>
          </w:tcPr>
          <w:p w14:paraId="0AC50D4A">
            <w:pPr>
              <w:keepNext w:val="0"/>
              <w:keepLines w:val="0"/>
              <w:pageBreakBefore w:val="0"/>
              <w:widowControl w:val="0"/>
              <w:kinsoku/>
              <w:wordWrap/>
              <w:overflowPunct/>
              <w:bidi w:val="0"/>
              <w:spacing w:line="240" w:lineRule="exact"/>
              <w:ind w:left="-210" w:leftChars="-100" w:firstLine="210" w:firstLineChars="1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评审结果</w:t>
            </w:r>
          </w:p>
        </w:tc>
        <w:tc>
          <w:tcPr>
            <w:tcW w:w="1560" w:type="dxa"/>
            <w:vAlign w:val="top"/>
          </w:tcPr>
          <w:p w14:paraId="113ED606">
            <w:pPr>
              <w:pStyle w:val="5"/>
              <w:keepNext w:val="0"/>
              <w:keepLines w:val="0"/>
              <w:pageBreakBefore w:val="0"/>
              <w:widowControl w:val="0"/>
              <w:kinsoku/>
              <w:wordWrap/>
              <w:overflowPunct/>
              <w:bidi w:val="0"/>
              <w:ind w:firstLine="240"/>
              <w:rPr>
                <w:rFonts w:hint="eastAsia" w:ascii="仿宋" w:hAnsi="仿宋" w:eastAsia="仿宋" w:cs="仿宋"/>
                <w:color w:val="000000" w:themeColor="text1"/>
                <w:spacing w:val="15"/>
                <w:kern w:val="0"/>
                <w:szCs w:val="21"/>
                <w14:textFill>
                  <w14:solidFill>
                    <w14:schemeClr w14:val="tx1"/>
                  </w14:solidFill>
                </w14:textFill>
              </w:rPr>
            </w:pPr>
          </w:p>
        </w:tc>
      </w:tr>
    </w:tbl>
    <w:p w14:paraId="02166A97">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5A738B98">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5C0E119">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3B742D20">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04C4D9CB">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3D1A639E">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3D72EFB">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C308082">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6B36EA97">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E0D228B">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36E5CECC">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23A9AD78">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6AC6A32A">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AA670ED">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EA145A9">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66660836">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0A459166">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F5D944B">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7C2E07C3">
      <w:pPr>
        <w:pStyle w:val="5"/>
        <w:keepNext w:val="0"/>
        <w:keepLines w:val="0"/>
        <w:pageBreakBefore w:val="0"/>
        <w:widowControl w:val="0"/>
        <w:kinsoku/>
        <w:wordWrap/>
        <w:overflowPunct/>
        <w:bidi w:val="0"/>
        <w:ind w:firstLine="270"/>
        <w:rPr>
          <w:rFonts w:hint="eastAsia" w:ascii="仿宋" w:hAnsi="仿宋" w:eastAsia="仿宋" w:cs="仿宋"/>
          <w:color w:val="000000" w:themeColor="text1"/>
          <w:spacing w:val="15"/>
          <w:kern w:val="0"/>
          <w:sz w:val="24"/>
          <w14:textFill>
            <w14:solidFill>
              <w14:schemeClr w14:val="tx1"/>
            </w14:solidFill>
          </w14:textFill>
        </w:rPr>
      </w:pPr>
    </w:p>
    <w:p w14:paraId="45D5F448">
      <w:pPr>
        <w:pStyle w:val="5"/>
        <w:ind w:left="0" w:leftChars="0" w:firstLine="0" w:firstLineChars="0"/>
        <w:jc w:val="both"/>
        <w:rPr>
          <w:rFonts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附表</w:t>
      </w: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3</w:t>
      </w:r>
      <w:r>
        <w:rPr>
          <w:rFonts w:hint="eastAsia" w:ascii="仿宋" w:hAnsi="仿宋" w:eastAsia="仿宋" w:cs="仿宋"/>
          <w:color w:val="000000" w:themeColor="text1"/>
          <w:spacing w:val="15"/>
          <w:kern w:val="0"/>
          <w:sz w:val="24"/>
          <w:highlight w:val="none"/>
          <w14:textFill>
            <w14:solidFill>
              <w14:schemeClr w14:val="tx1"/>
            </w14:solidFill>
          </w14:textFill>
        </w:rPr>
        <w:t>：</w:t>
      </w:r>
    </w:p>
    <w:p w14:paraId="079317E9">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商务部分评审表</w:t>
      </w:r>
    </w:p>
    <w:tbl>
      <w:tblPr>
        <w:tblStyle w:val="6"/>
        <w:tblW w:w="891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375"/>
        <w:gridCol w:w="5042"/>
        <w:gridCol w:w="1486"/>
      </w:tblGrid>
      <w:tr w14:paraId="2F9F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0ADFB67A">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序号</w:t>
            </w:r>
          </w:p>
        </w:tc>
        <w:tc>
          <w:tcPr>
            <w:tcW w:w="1375" w:type="dxa"/>
            <w:vAlign w:val="center"/>
          </w:tcPr>
          <w:p w14:paraId="61ADEB27">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评审内容</w:t>
            </w:r>
          </w:p>
        </w:tc>
        <w:tc>
          <w:tcPr>
            <w:tcW w:w="5042" w:type="dxa"/>
            <w:vAlign w:val="center"/>
          </w:tcPr>
          <w:p w14:paraId="1A17F8C4">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评审内容及标准</w:t>
            </w:r>
          </w:p>
        </w:tc>
        <w:tc>
          <w:tcPr>
            <w:tcW w:w="1486" w:type="dxa"/>
            <w:vAlign w:val="center"/>
          </w:tcPr>
          <w:p w14:paraId="52016936">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得分</w:t>
            </w:r>
          </w:p>
        </w:tc>
      </w:tr>
      <w:tr w14:paraId="6743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1015" w:type="dxa"/>
            <w:vAlign w:val="center"/>
          </w:tcPr>
          <w:p w14:paraId="71360642">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1</w:t>
            </w:r>
          </w:p>
        </w:tc>
        <w:tc>
          <w:tcPr>
            <w:tcW w:w="1375" w:type="dxa"/>
            <w:vAlign w:val="center"/>
          </w:tcPr>
          <w:p w14:paraId="6464E224">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招标代理业绩</w:t>
            </w:r>
          </w:p>
          <w:p w14:paraId="0EE39F0F">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15</w:t>
            </w:r>
            <w:r>
              <w:rPr>
                <w:rFonts w:hint="eastAsia" w:ascii="仿宋" w:hAnsi="仿宋" w:eastAsia="仿宋" w:cs="仿宋"/>
                <w:color w:val="000000" w:themeColor="text1"/>
                <w:spacing w:val="15"/>
                <w:kern w:val="0"/>
                <w:szCs w:val="21"/>
                <w:highlight w:val="none"/>
                <w14:textFill>
                  <w14:solidFill>
                    <w14:schemeClr w14:val="tx1"/>
                  </w14:solidFill>
                </w14:textFill>
              </w:rPr>
              <w:t>分）</w:t>
            </w:r>
          </w:p>
        </w:tc>
        <w:tc>
          <w:tcPr>
            <w:tcW w:w="5042" w:type="dxa"/>
            <w:vAlign w:val="top"/>
          </w:tcPr>
          <w:p w14:paraId="362BD9B4">
            <w:pPr>
              <w:pStyle w:val="8"/>
              <w:spacing w:after="0"/>
              <w:ind w:firstLine="0"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近</w:t>
            </w:r>
            <w:r>
              <w:rPr>
                <w:rFonts w:hint="eastAsia" w:ascii="仿宋" w:hAnsi="仿宋" w:eastAsia="仿宋" w:cs="仿宋"/>
                <w:color w:val="000000" w:themeColor="text1"/>
                <w:highlight w:val="none"/>
                <w:lang w:val="en-US" w:eastAsia="zh-CN"/>
                <w14:textFill>
                  <w14:solidFill>
                    <w14:schemeClr w14:val="tx1"/>
                  </w14:solidFill>
                </w14:textFill>
              </w:rPr>
              <w:t>三</w:t>
            </w:r>
            <w:r>
              <w:rPr>
                <w:rFonts w:hint="eastAsia" w:ascii="仿宋" w:hAnsi="仿宋" w:eastAsia="仿宋" w:cs="仿宋"/>
                <w:color w:val="000000" w:themeColor="text1"/>
                <w:highlight w:val="none"/>
                <w14:textFill>
                  <w14:solidFill>
                    <w14:schemeClr w14:val="tx1"/>
                  </w14:solidFill>
                </w14:textFill>
              </w:rPr>
              <w:t>年：</w:t>
            </w:r>
          </w:p>
          <w:p w14:paraId="3763C865">
            <w:pPr>
              <w:pStyle w:val="8"/>
              <w:spacing w:after="0"/>
              <w:ind w:firstLine="0"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具有</w:t>
            </w:r>
            <w:r>
              <w:rPr>
                <w:rFonts w:hint="eastAsia" w:ascii="仿宋" w:hAnsi="仿宋" w:eastAsia="仿宋" w:cs="仿宋"/>
                <w:color w:val="000000" w:themeColor="text1"/>
                <w:highlight w:val="none"/>
                <w:lang w:val="en-US" w:eastAsia="zh-CN"/>
                <w14:textFill>
                  <w14:solidFill>
                    <w14:schemeClr w14:val="tx1"/>
                  </w14:solidFill>
                </w14:textFill>
              </w:rPr>
              <w:t>招标代理业绩每个记5分，</w:t>
            </w:r>
            <w:r>
              <w:rPr>
                <w:rFonts w:hint="eastAsia" w:ascii="仿宋" w:hAnsi="仿宋" w:eastAsia="仿宋" w:cs="仿宋"/>
                <w:color w:val="000000" w:themeColor="text1"/>
                <w:highlight w:val="none"/>
                <w14:textFill>
                  <w14:solidFill>
                    <w14:schemeClr w14:val="tx1"/>
                  </w14:solidFill>
                </w14:textFill>
              </w:rPr>
              <w:t>最多计</w:t>
            </w:r>
            <w:r>
              <w:rPr>
                <w:rFonts w:hint="eastAsia" w:ascii="仿宋" w:hAnsi="仿宋" w:eastAsia="仿宋" w:cs="仿宋"/>
                <w:color w:val="000000" w:themeColor="text1"/>
                <w:highlight w:val="none"/>
                <w:lang w:val="en-US" w:eastAsia="zh-CN"/>
                <w14:textFill>
                  <w14:solidFill>
                    <w14:schemeClr w14:val="tx1"/>
                  </w14:solidFill>
                </w14:textFill>
              </w:rPr>
              <w:t>15</w:t>
            </w:r>
            <w:r>
              <w:rPr>
                <w:rFonts w:hint="eastAsia" w:ascii="仿宋" w:hAnsi="仿宋" w:eastAsia="仿宋" w:cs="仿宋"/>
                <w:color w:val="000000" w:themeColor="text1"/>
                <w:highlight w:val="none"/>
                <w14:textFill>
                  <w14:solidFill>
                    <w14:schemeClr w14:val="tx1"/>
                  </w14:solidFill>
                </w14:textFill>
              </w:rPr>
              <w:t>分。</w:t>
            </w:r>
          </w:p>
          <w:p w14:paraId="11BE16EC">
            <w:pPr>
              <w:pStyle w:val="8"/>
              <w:spacing w:after="0"/>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（提供</w:t>
            </w:r>
            <w:r>
              <w:rPr>
                <w:rFonts w:hint="eastAsia" w:ascii="仿宋" w:hAnsi="仿宋" w:eastAsia="仿宋" w:cs="仿宋"/>
                <w:color w:val="000000" w:themeColor="text1"/>
                <w:highlight w:val="none"/>
                <w:lang w:val="en-US" w:eastAsia="zh-CN"/>
                <w14:textFill>
                  <w14:solidFill>
                    <w14:schemeClr w14:val="tx1"/>
                  </w14:solidFill>
                </w14:textFill>
              </w:rPr>
              <w:t>近三年项目代理实施后</w:t>
            </w:r>
            <w:r>
              <w:rPr>
                <w:rFonts w:hint="eastAsia" w:ascii="仿宋" w:hAnsi="仿宋" w:eastAsia="仿宋" w:cs="仿宋"/>
                <w:color w:val="000000" w:themeColor="text1"/>
                <w:highlight w:val="none"/>
                <w14:textFill>
                  <w14:solidFill>
                    <w14:schemeClr w14:val="tx1"/>
                  </w14:solidFill>
                </w14:textFill>
              </w:rPr>
              <w:t>中标通知书扫描件及</w:t>
            </w:r>
            <w:r>
              <w:rPr>
                <w:rFonts w:hint="eastAsia" w:ascii="仿宋" w:hAnsi="仿宋" w:eastAsia="仿宋" w:cs="仿宋"/>
                <w:color w:val="000000" w:themeColor="text1"/>
                <w:highlight w:val="none"/>
                <w:lang w:val="en-US" w:eastAsia="zh-CN"/>
                <w14:textFill>
                  <w14:solidFill>
                    <w14:schemeClr w14:val="tx1"/>
                  </w14:solidFill>
                </w14:textFill>
              </w:rPr>
              <w:t>项目代理合同等证明材料</w:t>
            </w:r>
            <w:r>
              <w:rPr>
                <w:rFonts w:hint="eastAsia" w:ascii="仿宋" w:hAnsi="仿宋" w:eastAsia="仿宋" w:cs="仿宋"/>
                <w:color w:val="000000" w:themeColor="text1"/>
                <w:highlight w:val="none"/>
                <w14:textFill>
                  <w14:solidFill>
                    <w14:schemeClr w14:val="tx1"/>
                  </w14:solidFill>
                </w14:textFill>
              </w:rPr>
              <w:t>，以</w:t>
            </w:r>
            <w:r>
              <w:rPr>
                <w:rFonts w:hint="eastAsia" w:ascii="仿宋" w:hAnsi="仿宋" w:eastAsia="仿宋" w:cs="仿宋"/>
                <w:color w:val="000000" w:themeColor="text1"/>
                <w:highlight w:val="none"/>
                <w:lang w:val="en-US" w:eastAsia="zh-CN"/>
                <w14:textFill>
                  <w14:solidFill>
                    <w14:schemeClr w14:val="tx1"/>
                  </w14:solidFill>
                </w14:textFill>
              </w:rPr>
              <w:t>项目</w:t>
            </w:r>
            <w:r>
              <w:rPr>
                <w:rFonts w:hint="eastAsia" w:ascii="仿宋" w:hAnsi="仿宋" w:eastAsia="仿宋" w:cs="仿宋"/>
                <w:color w:val="000000" w:themeColor="text1"/>
                <w:highlight w:val="none"/>
                <w14:textFill>
                  <w14:solidFill>
                    <w14:schemeClr w14:val="tx1"/>
                  </w14:solidFill>
                </w14:textFill>
              </w:rPr>
              <w:t>中标结果发布日期为准）</w:t>
            </w:r>
          </w:p>
        </w:tc>
        <w:tc>
          <w:tcPr>
            <w:tcW w:w="1486" w:type="dxa"/>
            <w:vAlign w:val="top"/>
          </w:tcPr>
          <w:p w14:paraId="62A7C9A5">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135B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15" w:type="dxa"/>
            <w:vAlign w:val="center"/>
          </w:tcPr>
          <w:p w14:paraId="0D1C8CC0">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2</w:t>
            </w:r>
          </w:p>
        </w:tc>
        <w:tc>
          <w:tcPr>
            <w:tcW w:w="1375" w:type="dxa"/>
            <w:vAlign w:val="center"/>
          </w:tcPr>
          <w:p w14:paraId="50A1D92F">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人员情况（</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10</w:t>
            </w:r>
            <w:r>
              <w:rPr>
                <w:rFonts w:hint="eastAsia" w:ascii="仿宋" w:hAnsi="仿宋" w:eastAsia="仿宋" w:cs="仿宋"/>
                <w:color w:val="000000" w:themeColor="text1"/>
                <w:spacing w:val="15"/>
                <w:kern w:val="0"/>
                <w:szCs w:val="21"/>
                <w:highlight w:val="none"/>
                <w14:textFill>
                  <w14:solidFill>
                    <w14:schemeClr w14:val="tx1"/>
                  </w14:solidFill>
                </w14:textFill>
              </w:rPr>
              <w:t>分）</w:t>
            </w:r>
          </w:p>
        </w:tc>
        <w:tc>
          <w:tcPr>
            <w:tcW w:w="5042" w:type="dxa"/>
            <w:vAlign w:val="top"/>
          </w:tcPr>
          <w:p w14:paraId="3C7AF7B8">
            <w:pPr>
              <w:pStyle w:val="8"/>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拟投入本项目组除项目负责人外，其中项目组专职人</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员中具有工程建设类中级及以上职称证书或注册类证书</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每一个计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5</w:t>
            </w:r>
            <w:r>
              <w:rPr>
                <w:rFonts w:hint="eastAsia" w:ascii="仿宋" w:hAnsi="仿宋" w:eastAsia="仿宋" w:cs="仿宋"/>
                <w:color w:val="000000" w:themeColor="text1"/>
                <w:spacing w:val="15"/>
                <w:kern w:val="0"/>
                <w:szCs w:val="21"/>
                <w:highlight w:val="none"/>
                <w14:textFill>
                  <w14:solidFill>
                    <w14:schemeClr w14:val="tx1"/>
                  </w14:solidFill>
                </w14:textFill>
              </w:rPr>
              <w:t>分</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最多计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10</w:t>
            </w:r>
            <w:r>
              <w:rPr>
                <w:rFonts w:hint="eastAsia" w:ascii="仿宋" w:hAnsi="仿宋" w:eastAsia="仿宋" w:cs="仿宋"/>
                <w:color w:val="000000" w:themeColor="text1"/>
                <w:spacing w:val="15"/>
                <w:kern w:val="0"/>
                <w:szCs w:val="21"/>
                <w:highlight w:val="none"/>
                <w14:textFill>
                  <w14:solidFill>
                    <w14:schemeClr w14:val="tx1"/>
                  </w14:solidFill>
                </w14:textFill>
              </w:rPr>
              <w:t>分。</w:t>
            </w:r>
          </w:p>
          <w:p w14:paraId="1D477144">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（提供专职人员相关证书扫描件）</w:t>
            </w:r>
          </w:p>
        </w:tc>
        <w:tc>
          <w:tcPr>
            <w:tcW w:w="1486" w:type="dxa"/>
            <w:vAlign w:val="top"/>
          </w:tcPr>
          <w:p w14:paraId="5CB16060">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6A31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015" w:type="dxa"/>
            <w:vAlign w:val="center"/>
          </w:tcPr>
          <w:p w14:paraId="220B5808">
            <w:pPr>
              <w:pStyle w:val="8"/>
              <w:spacing w:after="0" w:line="240" w:lineRule="exact"/>
              <w:ind w:firstLine="240"/>
              <w:jc w:val="center"/>
              <w:rPr>
                <w:rFonts w:hint="eastAsia" w:ascii="仿宋" w:hAnsi="仿宋" w:eastAsia="仿宋" w:cs="仿宋"/>
                <w:color w:val="000000" w:themeColor="text1"/>
                <w:spacing w:val="15"/>
                <w:kern w:val="0"/>
                <w:szCs w:val="21"/>
                <w:highlight w:val="none"/>
                <w:lang w:eastAsia="zh-CN"/>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3</w:t>
            </w:r>
          </w:p>
        </w:tc>
        <w:tc>
          <w:tcPr>
            <w:tcW w:w="1375" w:type="dxa"/>
            <w:vAlign w:val="center"/>
          </w:tcPr>
          <w:p w14:paraId="5F803464">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违法违规行为</w:t>
            </w:r>
          </w:p>
          <w:p w14:paraId="4B5D95C5">
            <w:pPr>
              <w:pStyle w:val="8"/>
              <w:spacing w:after="0" w:line="240" w:lineRule="exact"/>
              <w:ind w:firstLine="0" w:firstLineChars="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（1</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5</w:t>
            </w:r>
            <w:r>
              <w:rPr>
                <w:rFonts w:hint="eastAsia" w:ascii="仿宋" w:hAnsi="仿宋" w:eastAsia="仿宋" w:cs="仿宋"/>
                <w:color w:val="000000" w:themeColor="text1"/>
                <w:spacing w:val="15"/>
                <w:kern w:val="0"/>
                <w:szCs w:val="21"/>
                <w:highlight w:val="none"/>
                <w14:textFill>
                  <w14:solidFill>
                    <w14:schemeClr w14:val="tx1"/>
                  </w14:solidFill>
                </w14:textFill>
              </w:rPr>
              <w:t>分）</w:t>
            </w:r>
          </w:p>
        </w:tc>
        <w:tc>
          <w:tcPr>
            <w:tcW w:w="5042" w:type="dxa"/>
            <w:vAlign w:val="center"/>
          </w:tcPr>
          <w:p w14:paraId="4B8436F8">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近三年内，公司和拟任招标代理项目组人员无违规行为，计10分；每有一例因违规受到招标投标监管或政府采购监管部门通报或公告的行为，扣5分；</w:t>
            </w:r>
          </w:p>
          <w:p w14:paraId="55B6D0BA">
            <w:pPr>
              <w:spacing w:line="24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每有一例因违规受到招标投标监管或政府采购监管部门处罚的行为，扣10分；</w:t>
            </w:r>
          </w:p>
          <w:p w14:paraId="190974D4">
            <w:pPr>
              <w:spacing w:line="240" w:lineRule="exact"/>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w:t>
            </w:r>
            <w:r>
              <w:rPr>
                <w:rFonts w:hint="eastAsia" w:ascii="仿宋" w:hAnsi="仿宋" w:eastAsia="仿宋" w:cs="仿宋"/>
                <w:color w:val="000000" w:themeColor="text1"/>
                <w:highlight w:val="none"/>
                <w14:textFill>
                  <w14:solidFill>
                    <w14:schemeClr w14:val="tx1"/>
                  </w14:solidFill>
                </w14:textFill>
              </w:rPr>
              <w:t>评标</w:t>
            </w:r>
            <w:r>
              <w:rPr>
                <w:rFonts w:hint="eastAsia" w:ascii="仿宋" w:hAnsi="仿宋" w:eastAsia="仿宋" w:cs="仿宋"/>
                <w:color w:val="000000" w:themeColor="text1"/>
                <w:szCs w:val="21"/>
                <w:highlight w:val="none"/>
                <w14:textFill>
                  <w14:solidFill>
                    <w14:schemeClr w14:val="tx1"/>
                  </w14:solidFill>
                </w14:textFill>
              </w:rPr>
              <w:t>项最多扣1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分。</w:t>
            </w:r>
          </w:p>
        </w:tc>
        <w:tc>
          <w:tcPr>
            <w:tcW w:w="1486" w:type="dxa"/>
            <w:vAlign w:val="top"/>
          </w:tcPr>
          <w:p w14:paraId="744A3FE4">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r w14:paraId="59F9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5" w:type="dxa"/>
            <w:vAlign w:val="center"/>
          </w:tcPr>
          <w:p w14:paraId="7ACE0BDB">
            <w:pPr>
              <w:pStyle w:val="8"/>
              <w:spacing w:after="0" w:line="240" w:lineRule="exact"/>
              <w:ind w:firstLine="240"/>
              <w:jc w:val="center"/>
              <w:rPr>
                <w:rFonts w:hint="eastAsia" w:ascii="仿宋" w:hAnsi="仿宋" w:eastAsia="仿宋" w:cs="仿宋"/>
                <w:color w:val="000000" w:themeColor="text1"/>
                <w:spacing w:val="15"/>
                <w:kern w:val="0"/>
                <w:szCs w:val="21"/>
                <w:highlight w:val="none"/>
                <w:lang w:eastAsia="zh-CN"/>
                <w14:textFill>
                  <w14:solidFill>
                    <w14:schemeClr w14:val="tx1"/>
                  </w14:solidFill>
                </w14:textFill>
              </w:rPr>
            </w:pP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4</w:t>
            </w:r>
          </w:p>
        </w:tc>
        <w:tc>
          <w:tcPr>
            <w:tcW w:w="6417" w:type="dxa"/>
            <w:gridSpan w:val="2"/>
            <w:vAlign w:val="center"/>
          </w:tcPr>
          <w:p w14:paraId="0447F78F">
            <w:pPr>
              <w:pStyle w:val="8"/>
              <w:spacing w:after="0" w:line="240" w:lineRule="exact"/>
              <w:ind w:firstLine="240"/>
              <w:jc w:val="center"/>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合计</w:t>
            </w:r>
          </w:p>
        </w:tc>
        <w:tc>
          <w:tcPr>
            <w:tcW w:w="1486" w:type="dxa"/>
            <w:vAlign w:val="top"/>
          </w:tcPr>
          <w:p w14:paraId="7E8D9FC1">
            <w:pPr>
              <w:pStyle w:val="8"/>
              <w:spacing w:after="0" w:line="240" w:lineRule="exact"/>
              <w:ind w:firstLine="240"/>
              <w:rPr>
                <w:rFonts w:hint="eastAsia" w:ascii="仿宋" w:hAnsi="仿宋" w:eastAsia="仿宋" w:cs="仿宋"/>
                <w:color w:val="000000" w:themeColor="text1"/>
                <w:spacing w:val="15"/>
                <w:kern w:val="0"/>
                <w:szCs w:val="21"/>
                <w:highlight w:val="none"/>
                <w14:textFill>
                  <w14:solidFill>
                    <w14:schemeClr w14:val="tx1"/>
                  </w14:solidFill>
                </w14:textFill>
              </w:rPr>
            </w:pPr>
          </w:p>
        </w:tc>
      </w:tr>
    </w:tbl>
    <w:p w14:paraId="1697B5DB">
      <w:pPr>
        <w:pStyle w:val="5"/>
        <w:ind w:firstLine="0" w:firstLineChars="0"/>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备注：商务部分评分由专家集体评议打分。</w:t>
      </w:r>
      <w:r>
        <w:rPr>
          <w:rFonts w:hint="eastAsia" w:ascii="仿宋" w:hAnsi="仿宋" w:eastAsia="仿宋" w:cs="仿宋"/>
          <w:color w:val="000000" w:themeColor="text1"/>
          <w:spacing w:val="15"/>
          <w:kern w:val="0"/>
          <w:sz w:val="24"/>
          <w:highlight w:val="none"/>
          <w14:textFill>
            <w14:solidFill>
              <w14:schemeClr w14:val="tx1"/>
            </w14:solidFill>
          </w14:textFill>
        </w:rPr>
        <w:br w:type="page"/>
      </w:r>
      <w:r>
        <w:rPr>
          <w:rFonts w:hint="eastAsia" w:ascii="仿宋" w:hAnsi="仿宋" w:eastAsia="仿宋" w:cs="仿宋"/>
          <w:color w:val="000000" w:themeColor="text1"/>
          <w:spacing w:val="15"/>
          <w:kern w:val="0"/>
          <w:sz w:val="24"/>
          <w:highlight w:val="none"/>
          <w14:textFill>
            <w14:solidFill>
              <w14:schemeClr w14:val="tx1"/>
            </w14:solidFill>
          </w14:textFill>
        </w:rPr>
        <w:t>附表</w:t>
      </w: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4</w:t>
      </w:r>
      <w:r>
        <w:rPr>
          <w:rFonts w:hint="eastAsia" w:ascii="仿宋" w:hAnsi="仿宋" w:eastAsia="仿宋" w:cs="仿宋"/>
          <w:color w:val="000000" w:themeColor="text1"/>
          <w:spacing w:val="15"/>
          <w:kern w:val="0"/>
          <w:sz w:val="24"/>
          <w:highlight w:val="none"/>
          <w14:textFill>
            <w14:solidFill>
              <w14:schemeClr w14:val="tx1"/>
            </w14:solidFill>
          </w14:textFill>
        </w:rPr>
        <w:t>：</w:t>
      </w:r>
    </w:p>
    <w:p w14:paraId="38C3BB47">
      <w:pPr>
        <w:pStyle w:val="5"/>
        <w:ind w:firstLine="311"/>
        <w:jc w:val="center"/>
        <w:rPr>
          <w:rFonts w:hint="eastAsia" w:ascii="仿宋" w:hAnsi="仿宋" w:eastAsia="仿宋" w:cs="仿宋"/>
          <w:b/>
          <w:bCs/>
          <w:color w:val="000000" w:themeColor="text1"/>
          <w:spacing w:val="15"/>
          <w:kern w:val="0"/>
          <w:sz w:val="28"/>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1"/>
          <w:highlight w:val="none"/>
          <w14:textFill>
            <w14:solidFill>
              <w14:schemeClr w14:val="tx1"/>
            </w14:solidFill>
          </w14:textFill>
        </w:rPr>
        <w:t>技术方案评审表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793"/>
        <w:gridCol w:w="3961"/>
        <w:gridCol w:w="1031"/>
        <w:gridCol w:w="1135"/>
      </w:tblGrid>
      <w:tr w14:paraId="7A24A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2A86231C">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序号</w:t>
            </w:r>
          </w:p>
        </w:tc>
        <w:tc>
          <w:tcPr>
            <w:tcW w:w="1793" w:type="dxa"/>
            <w:vAlign w:val="center"/>
          </w:tcPr>
          <w:p w14:paraId="7D5C24D7">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评审内容</w:t>
            </w:r>
          </w:p>
        </w:tc>
        <w:tc>
          <w:tcPr>
            <w:tcW w:w="4992" w:type="dxa"/>
            <w:gridSpan w:val="2"/>
            <w:vAlign w:val="center"/>
          </w:tcPr>
          <w:p w14:paraId="7EB38002">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评审标准</w:t>
            </w:r>
          </w:p>
        </w:tc>
        <w:tc>
          <w:tcPr>
            <w:tcW w:w="1135" w:type="dxa"/>
            <w:vAlign w:val="center"/>
          </w:tcPr>
          <w:p w14:paraId="227ED073">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评审得分</w:t>
            </w:r>
          </w:p>
        </w:tc>
      </w:tr>
      <w:tr w14:paraId="1A5FF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99" w:type="dxa"/>
            <w:vAlign w:val="center"/>
          </w:tcPr>
          <w:p w14:paraId="01298434">
            <w:pPr>
              <w:jc w:val="center"/>
              <w:rPr>
                <w:rFonts w:hint="eastAsia" w:ascii="仿宋" w:hAnsi="仿宋" w:eastAsia="仿宋" w:cs="仿宋"/>
                <w:color w:val="000000" w:themeColor="text1"/>
                <w:highlight w:val="none"/>
                <w14:textFill>
                  <w14:solidFill>
                    <w14:schemeClr w14:val="tx1"/>
                  </w14:solidFill>
                </w14:textFill>
              </w:rPr>
            </w:pPr>
          </w:p>
        </w:tc>
        <w:tc>
          <w:tcPr>
            <w:tcW w:w="1793" w:type="dxa"/>
            <w:vAlign w:val="center"/>
          </w:tcPr>
          <w:p w14:paraId="30B30473">
            <w:pPr>
              <w:jc w:val="center"/>
              <w:rPr>
                <w:rFonts w:hint="eastAsia" w:ascii="仿宋" w:hAnsi="仿宋" w:eastAsia="仿宋" w:cs="仿宋"/>
                <w:color w:val="000000" w:themeColor="text1"/>
                <w:highlight w:val="none"/>
                <w14:textFill>
                  <w14:solidFill>
                    <w14:schemeClr w14:val="tx1"/>
                  </w14:solidFill>
                </w14:textFill>
              </w:rPr>
            </w:pPr>
          </w:p>
        </w:tc>
        <w:tc>
          <w:tcPr>
            <w:tcW w:w="4992" w:type="dxa"/>
            <w:gridSpan w:val="2"/>
            <w:vAlign w:val="center"/>
          </w:tcPr>
          <w:p w14:paraId="6BF62C56">
            <w:pPr>
              <w:jc w:val="center"/>
              <w:rPr>
                <w:rFonts w:hint="eastAsia" w:ascii="仿宋" w:hAnsi="仿宋" w:eastAsia="仿宋" w:cs="仿宋"/>
                <w:color w:val="000000" w:themeColor="text1"/>
                <w:highlight w:val="none"/>
                <w14:textFill>
                  <w14:solidFill>
                    <w14:schemeClr w14:val="tx1"/>
                  </w14:solidFill>
                </w14:textFill>
              </w:rPr>
            </w:pPr>
          </w:p>
        </w:tc>
        <w:tc>
          <w:tcPr>
            <w:tcW w:w="1135" w:type="dxa"/>
            <w:vAlign w:val="center"/>
          </w:tcPr>
          <w:p w14:paraId="6C9B4B44">
            <w:pPr>
              <w:jc w:val="center"/>
              <w:rPr>
                <w:rFonts w:hint="eastAsia" w:ascii="仿宋" w:hAnsi="仿宋" w:eastAsia="仿宋" w:cs="仿宋"/>
                <w:color w:val="000000" w:themeColor="text1"/>
                <w:highlight w:val="none"/>
                <w14:textFill>
                  <w14:solidFill>
                    <w14:schemeClr w14:val="tx1"/>
                  </w14:solidFill>
                </w14:textFill>
              </w:rPr>
            </w:pPr>
          </w:p>
        </w:tc>
      </w:tr>
      <w:tr w14:paraId="3699F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restart"/>
            <w:vAlign w:val="center"/>
          </w:tcPr>
          <w:p w14:paraId="7F953422">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w:t>
            </w:r>
          </w:p>
        </w:tc>
        <w:tc>
          <w:tcPr>
            <w:tcW w:w="1793" w:type="dxa"/>
            <w:vMerge w:val="restart"/>
            <w:vAlign w:val="center"/>
          </w:tcPr>
          <w:p w14:paraId="5BECA0B4">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招标代理</w:t>
            </w:r>
          </w:p>
          <w:p w14:paraId="20881860">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工作流程（</w:t>
            </w:r>
            <w:r>
              <w:rPr>
                <w:rFonts w:hint="eastAsia" w:ascii="仿宋" w:hAnsi="仿宋" w:eastAsia="仿宋" w:cs="仿宋"/>
                <w:color w:val="000000" w:themeColor="text1"/>
                <w:highlight w:val="none"/>
                <w:lang w:val="en-US" w:eastAsia="zh-CN"/>
                <w14:textFill>
                  <w14:solidFill>
                    <w14:schemeClr w14:val="tx1"/>
                  </w14:solidFill>
                </w14:textFill>
              </w:rPr>
              <w:t>15</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3D7FB523">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内容完整，科学，可靠，编制水平高</w:t>
            </w:r>
          </w:p>
        </w:tc>
        <w:tc>
          <w:tcPr>
            <w:tcW w:w="1031" w:type="dxa"/>
            <w:vAlign w:val="center"/>
          </w:tcPr>
          <w:p w14:paraId="681CD13E">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15</w:t>
            </w:r>
          </w:p>
        </w:tc>
        <w:tc>
          <w:tcPr>
            <w:tcW w:w="1135" w:type="dxa"/>
            <w:vMerge w:val="restart"/>
            <w:vAlign w:val="center"/>
          </w:tcPr>
          <w:p w14:paraId="767971F2">
            <w:pPr>
              <w:jc w:val="center"/>
              <w:rPr>
                <w:rFonts w:hint="eastAsia" w:ascii="仿宋" w:hAnsi="仿宋" w:eastAsia="仿宋" w:cs="仿宋"/>
                <w:color w:val="000000" w:themeColor="text1"/>
                <w:highlight w:val="none"/>
                <w14:textFill>
                  <w14:solidFill>
                    <w14:schemeClr w14:val="tx1"/>
                  </w14:solidFill>
                </w14:textFill>
              </w:rPr>
            </w:pPr>
          </w:p>
        </w:tc>
      </w:tr>
      <w:tr w14:paraId="3E5CA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4774DAEC">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250F293B">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6DFCEFEC">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内容较完整，编制水平一般</w:t>
            </w:r>
          </w:p>
        </w:tc>
        <w:tc>
          <w:tcPr>
            <w:tcW w:w="1031" w:type="dxa"/>
            <w:vAlign w:val="center"/>
          </w:tcPr>
          <w:p w14:paraId="6A90E583">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continue"/>
            <w:vAlign w:val="center"/>
          </w:tcPr>
          <w:p w14:paraId="173317A3">
            <w:pPr>
              <w:jc w:val="center"/>
              <w:rPr>
                <w:rFonts w:hint="eastAsia" w:ascii="仿宋" w:hAnsi="仿宋" w:eastAsia="仿宋" w:cs="仿宋"/>
                <w:color w:val="000000" w:themeColor="text1"/>
                <w:highlight w:val="none"/>
                <w14:textFill>
                  <w14:solidFill>
                    <w14:schemeClr w14:val="tx1"/>
                  </w14:solidFill>
                </w14:textFill>
              </w:rPr>
            </w:pPr>
          </w:p>
        </w:tc>
      </w:tr>
      <w:tr w14:paraId="62F36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6A851FC8">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50F81950">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1CC13D6D">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内容欠完整或方案欠科学</w:t>
            </w:r>
          </w:p>
        </w:tc>
        <w:tc>
          <w:tcPr>
            <w:tcW w:w="1031" w:type="dxa"/>
            <w:vAlign w:val="center"/>
          </w:tcPr>
          <w:p w14:paraId="76DCCD56">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6E76CF91">
            <w:pPr>
              <w:jc w:val="center"/>
              <w:rPr>
                <w:rFonts w:hint="eastAsia" w:ascii="仿宋" w:hAnsi="仿宋" w:eastAsia="仿宋" w:cs="仿宋"/>
                <w:color w:val="000000" w:themeColor="text1"/>
                <w:highlight w:val="none"/>
                <w14:textFill>
                  <w14:solidFill>
                    <w14:schemeClr w14:val="tx1"/>
                  </w14:solidFill>
                </w14:textFill>
              </w:rPr>
            </w:pPr>
          </w:p>
        </w:tc>
      </w:tr>
      <w:tr w14:paraId="51FED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restart"/>
            <w:vAlign w:val="center"/>
          </w:tcPr>
          <w:p w14:paraId="09F3A824">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w:t>
            </w:r>
          </w:p>
        </w:tc>
        <w:tc>
          <w:tcPr>
            <w:tcW w:w="1793" w:type="dxa"/>
            <w:vMerge w:val="restart"/>
            <w:vAlign w:val="center"/>
          </w:tcPr>
          <w:p w14:paraId="463F414B">
            <w:pPr>
              <w:jc w:val="center"/>
              <w:rPr>
                <w:rFonts w:hint="eastAsia" w:ascii="仿宋" w:hAnsi="仿宋" w:eastAsia="仿宋" w:cs="仿宋"/>
                <w:color w:val="000000"/>
                <w:highlight w:val="none"/>
              </w:rPr>
            </w:pPr>
            <w:r>
              <w:rPr>
                <w:rFonts w:hint="eastAsia" w:ascii="仿宋" w:hAnsi="仿宋" w:eastAsia="仿宋" w:cs="仿宋"/>
                <w:color w:val="000000"/>
                <w:highlight w:val="none"/>
              </w:rPr>
              <w:t>拟任专职人员</w:t>
            </w:r>
          </w:p>
          <w:p w14:paraId="5FF021AB">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15</w:t>
            </w:r>
            <w:r>
              <w:rPr>
                <w:rFonts w:hint="eastAsia" w:ascii="仿宋" w:hAnsi="仿宋" w:eastAsia="仿宋" w:cs="仿宋"/>
                <w:color w:val="000000"/>
                <w:highlight w:val="none"/>
              </w:rPr>
              <w:t>分）</w:t>
            </w:r>
          </w:p>
        </w:tc>
        <w:tc>
          <w:tcPr>
            <w:tcW w:w="3961" w:type="dxa"/>
            <w:vAlign w:val="center"/>
          </w:tcPr>
          <w:p w14:paraId="58A1285C">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综合条件高，各专业人员配备合理</w:t>
            </w:r>
          </w:p>
        </w:tc>
        <w:tc>
          <w:tcPr>
            <w:tcW w:w="1031" w:type="dxa"/>
            <w:vAlign w:val="center"/>
          </w:tcPr>
          <w:p w14:paraId="2BCB3F58">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15</w:t>
            </w:r>
          </w:p>
        </w:tc>
        <w:tc>
          <w:tcPr>
            <w:tcW w:w="1135" w:type="dxa"/>
            <w:vMerge w:val="restart"/>
            <w:vAlign w:val="center"/>
          </w:tcPr>
          <w:p w14:paraId="5141A9BA">
            <w:pPr>
              <w:jc w:val="center"/>
              <w:rPr>
                <w:rFonts w:hint="eastAsia" w:ascii="仿宋" w:hAnsi="仿宋" w:eastAsia="仿宋" w:cs="仿宋"/>
                <w:color w:val="000000" w:themeColor="text1"/>
                <w:highlight w:val="none"/>
                <w14:textFill>
                  <w14:solidFill>
                    <w14:schemeClr w14:val="tx1"/>
                  </w14:solidFill>
                </w14:textFill>
              </w:rPr>
            </w:pPr>
          </w:p>
        </w:tc>
      </w:tr>
      <w:tr w14:paraId="6C311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01217775">
            <w:pPr>
              <w:jc w:val="center"/>
              <w:rPr>
                <w:rFonts w:hint="eastAsia" w:ascii="仿宋" w:hAnsi="仿宋" w:eastAsia="仿宋" w:cs="仿宋"/>
                <w:color w:val="000000" w:themeColor="text1"/>
                <w:highlight w:val="none"/>
                <w:lang w:val="en-US" w:eastAsia="zh-CN"/>
                <w14:textFill>
                  <w14:solidFill>
                    <w14:schemeClr w14:val="tx1"/>
                  </w14:solidFill>
                </w14:textFill>
              </w:rPr>
            </w:pPr>
          </w:p>
        </w:tc>
        <w:tc>
          <w:tcPr>
            <w:tcW w:w="1793" w:type="dxa"/>
            <w:vMerge w:val="continue"/>
            <w:vAlign w:val="center"/>
          </w:tcPr>
          <w:p w14:paraId="5A43379E">
            <w:pPr>
              <w:jc w:val="center"/>
              <w:rPr>
                <w:rFonts w:hint="eastAsia" w:ascii="仿宋" w:hAnsi="仿宋" w:eastAsia="仿宋" w:cs="仿宋"/>
                <w:color w:val="000000"/>
                <w:highlight w:val="none"/>
              </w:rPr>
            </w:pPr>
          </w:p>
        </w:tc>
        <w:tc>
          <w:tcPr>
            <w:tcW w:w="3961" w:type="dxa"/>
            <w:vAlign w:val="center"/>
          </w:tcPr>
          <w:p w14:paraId="1F043994">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综合条件较高，各专业人员配备基本合理</w:t>
            </w:r>
          </w:p>
        </w:tc>
        <w:tc>
          <w:tcPr>
            <w:tcW w:w="1031" w:type="dxa"/>
            <w:vAlign w:val="center"/>
          </w:tcPr>
          <w:p w14:paraId="72A2E00A">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9</w:t>
            </w:r>
          </w:p>
        </w:tc>
        <w:tc>
          <w:tcPr>
            <w:tcW w:w="1135" w:type="dxa"/>
            <w:vMerge w:val="continue"/>
            <w:vAlign w:val="center"/>
          </w:tcPr>
          <w:p w14:paraId="4B48A864">
            <w:pPr>
              <w:jc w:val="center"/>
              <w:rPr>
                <w:rFonts w:hint="eastAsia" w:ascii="仿宋" w:hAnsi="仿宋" w:eastAsia="仿宋" w:cs="仿宋"/>
                <w:color w:val="000000" w:themeColor="text1"/>
                <w:highlight w:val="none"/>
                <w14:textFill>
                  <w14:solidFill>
                    <w14:schemeClr w14:val="tx1"/>
                  </w14:solidFill>
                </w14:textFill>
              </w:rPr>
            </w:pPr>
          </w:p>
        </w:tc>
      </w:tr>
      <w:tr w14:paraId="0EB54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 w:hRule="atLeast"/>
          <w:jc w:val="center"/>
        </w:trPr>
        <w:tc>
          <w:tcPr>
            <w:tcW w:w="599" w:type="dxa"/>
            <w:vMerge w:val="continue"/>
            <w:vAlign w:val="center"/>
          </w:tcPr>
          <w:p w14:paraId="74793864">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04FDB942">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340FE30D">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综合条件一般，各专业人员配备欠合理</w:t>
            </w:r>
          </w:p>
        </w:tc>
        <w:tc>
          <w:tcPr>
            <w:tcW w:w="1031" w:type="dxa"/>
            <w:vAlign w:val="center"/>
          </w:tcPr>
          <w:p w14:paraId="73C518EC">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135" w:type="dxa"/>
            <w:vMerge w:val="continue"/>
            <w:vAlign w:val="center"/>
          </w:tcPr>
          <w:p w14:paraId="5203867C">
            <w:pPr>
              <w:jc w:val="center"/>
              <w:rPr>
                <w:rFonts w:hint="eastAsia" w:ascii="仿宋" w:hAnsi="仿宋" w:eastAsia="仿宋" w:cs="仿宋"/>
                <w:color w:val="000000" w:themeColor="text1"/>
                <w:highlight w:val="none"/>
                <w14:textFill>
                  <w14:solidFill>
                    <w14:schemeClr w14:val="tx1"/>
                  </w14:solidFill>
                </w14:textFill>
              </w:rPr>
            </w:pPr>
          </w:p>
        </w:tc>
      </w:tr>
      <w:tr w14:paraId="68FBE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restart"/>
            <w:vAlign w:val="center"/>
          </w:tcPr>
          <w:p w14:paraId="563BE44C">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793" w:type="dxa"/>
            <w:vMerge w:val="restart"/>
            <w:vAlign w:val="center"/>
          </w:tcPr>
          <w:p w14:paraId="11BDA3D6">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质疑投诉处理预案（</w:t>
            </w: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15B4D9B0">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科学、合理，执行度高</w:t>
            </w:r>
          </w:p>
        </w:tc>
        <w:tc>
          <w:tcPr>
            <w:tcW w:w="1031" w:type="dxa"/>
            <w:vAlign w:val="center"/>
          </w:tcPr>
          <w:p w14:paraId="05B03EB3">
            <w:pPr>
              <w:jc w:val="center"/>
              <w:rPr>
                <w:rFonts w:hint="default"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10</w:t>
            </w:r>
          </w:p>
        </w:tc>
        <w:tc>
          <w:tcPr>
            <w:tcW w:w="1135" w:type="dxa"/>
            <w:vMerge w:val="restart"/>
            <w:vAlign w:val="center"/>
          </w:tcPr>
          <w:p w14:paraId="2A375670">
            <w:pPr>
              <w:jc w:val="center"/>
              <w:rPr>
                <w:rFonts w:hint="eastAsia" w:ascii="仿宋" w:hAnsi="仿宋" w:eastAsia="仿宋" w:cs="仿宋"/>
                <w:color w:val="000000" w:themeColor="text1"/>
                <w:highlight w:val="none"/>
                <w14:textFill>
                  <w14:solidFill>
                    <w14:schemeClr w14:val="tx1"/>
                  </w14:solidFill>
                </w14:textFill>
              </w:rPr>
            </w:pPr>
          </w:p>
        </w:tc>
      </w:tr>
      <w:tr w14:paraId="2C813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4A81FA0F">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28EE4AA4">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5DEE425D">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较科学、较合理，执行度较高</w:t>
            </w:r>
          </w:p>
        </w:tc>
        <w:tc>
          <w:tcPr>
            <w:tcW w:w="1031" w:type="dxa"/>
            <w:vAlign w:val="center"/>
          </w:tcPr>
          <w:p w14:paraId="3F8D6A56">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p>
        </w:tc>
        <w:tc>
          <w:tcPr>
            <w:tcW w:w="1135" w:type="dxa"/>
            <w:vMerge w:val="continue"/>
            <w:vAlign w:val="center"/>
          </w:tcPr>
          <w:p w14:paraId="6BB67579">
            <w:pPr>
              <w:jc w:val="center"/>
              <w:rPr>
                <w:rFonts w:hint="eastAsia" w:ascii="仿宋" w:hAnsi="仿宋" w:eastAsia="仿宋" w:cs="仿宋"/>
                <w:color w:val="000000" w:themeColor="text1"/>
                <w:highlight w:val="none"/>
                <w14:textFill>
                  <w14:solidFill>
                    <w14:schemeClr w14:val="tx1"/>
                  </w14:solidFill>
                </w14:textFill>
              </w:rPr>
            </w:pPr>
          </w:p>
        </w:tc>
      </w:tr>
      <w:tr w14:paraId="46D9A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0067F555">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7C2130CC">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2963C788">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科学合理性一般，执行度一般</w:t>
            </w:r>
          </w:p>
        </w:tc>
        <w:tc>
          <w:tcPr>
            <w:tcW w:w="1031" w:type="dxa"/>
            <w:vAlign w:val="center"/>
          </w:tcPr>
          <w:p w14:paraId="1490FA04">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135" w:type="dxa"/>
            <w:vMerge w:val="continue"/>
            <w:vAlign w:val="center"/>
          </w:tcPr>
          <w:p w14:paraId="750242EB">
            <w:pPr>
              <w:jc w:val="center"/>
              <w:rPr>
                <w:rFonts w:hint="eastAsia" w:ascii="仿宋" w:hAnsi="仿宋" w:eastAsia="仿宋" w:cs="仿宋"/>
                <w:color w:val="000000" w:themeColor="text1"/>
                <w:highlight w:val="none"/>
                <w14:textFill>
                  <w14:solidFill>
                    <w14:schemeClr w14:val="tx1"/>
                  </w14:solidFill>
                </w14:textFill>
              </w:rPr>
            </w:pPr>
          </w:p>
        </w:tc>
      </w:tr>
      <w:tr w14:paraId="5A356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restart"/>
            <w:vAlign w:val="center"/>
          </w:tcPr>
          <w:p w14:paraId="2E44D541">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p>
        </w:tc>
        <w:tc>
          <w:tcPr>
            <w:tcW w:w="1793" w:type="dxa"/>
            <w:vMerge w:val="restart"/>
            <w:vAlign w:val="center"/>
          </w:tcPr>
          <w:p w14:paraId="24766B62">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招标工作的保证措施</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29F67419">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针对性强、保证措施得力</w:t>
            </w:r>
          </w:p>
        </w:tc>
        <w:tc>
          <w:tcPr>
            <w:tcW w:w="1031" w:type="dxa"/>
            <w:vAlign w:val="center"/>
          </w:tcPr>
          <w:p w14:paraId="310444EE">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10</w:t>
            </w:r>
          </w:p>
        </w:tc>
        <w:tc>
          <w:tcPr>
            <w:tcW w:w="1135" w:type="dxa"/>
            <w:vMerge w:val="restart"/>
            <w:vAlign w:val="center"/>
          </w:tcPr>
          <w:p w14:paraId="6538C977">
            <w:pPr>
              <w:jc w:val="center"/>
              <w:rPr>
                <w:rFonts w:hint="eastAsia" w:ascii="仿宋" w:hAnsi="仿宋" w:eastAsia="仿宋" w:cs="仿宋"/>
                <w:color w:val="000000" w:themeColor="text1"/>
                <w:highlight w:val="none"/>
                <w14:textFill>
                  <w14:solidFill>
                    <w14:schemeClr w14:val="tx1"/>
                  </w14:solidFill>
                </w14:textFill>
              </w:rPr>
            </w:pPr>
          </w:p>
        </w:tc>
      </w:tr>
      <w:tr w14:paraId="5F9A4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1D15513B">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78C0FFE7">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75EA81B2">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针对性较强，措施较高</w:t>
            </w:r>
          </w:p>
        </w:tc>
        <w:tc>
          <w:tcPr>
            <w:tcW w:w="1031" w:type="dxa"/>
            <w:vAlign w:val="center"/>
          </w:tcPr>
          <w:p w14:paraId="30C2DE31">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p>
        </w:tc>
        <w:tc>
          <w:tcPr>
            <w:tcW w:w="1135" w:type="dxa"/>
            <w:vMerge w:val="continue"/>
            <w:vAlign w:val="center"/>
          </w:tcPr>
          <w:p w14:paraId="25FE478F">
            <w:pPr>
              <w:jc w:val="center"/>
              <w:rPr>
                <w:rFonts w:hint="eastAsia" w:ascii="仿宋" w:hAnsi="仿宋" w:eastAsia="仿宋" w:cs="仿宋"/>
                <w:color w:val="000000" w:themeColor="text1"/>
                <w:highlight w:val="none"/>
                <w14:textFill>
                  <w14:solidFill>
                    <w14:schemeClr w14:val="tx1"/>
                  </w14:solidFill>
                </w14:textFill>
              </w:rPr>
            </w:pPr>
          </w:p>
        </w:tc>
      </w:tr>
      <w:tr w14:paraId="1940C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33E30DDA">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38A2BE16">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180954A9">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措施一般</w:t>
            </w:r>
          </w:p>
        </w:tc>
        <w:tc>
          <w:tcPr>
            <w:tcW w:w="1031" w:type="dxa"/>
            <w:vAlign w:val="center"/>
          </w:tcPr>
          <w:p w14:paraId="6988356D">
            <w:pPr>
              <w:jc w:val="center"/>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135" w:type="dxa"/>
            <w:vMerge w:val="continue"/>
            <w:vAlign w:val="center"/>
          </w:tcPr>
          <w:p w14:paraId="2CB6668A">
            <w:pPr>
              <w:jc w:val="center"/>
              <w:rPr>
                <w:rFonts w:hint="eastAsia" w:ascii="仿宋" w:hAnsi="仿宋" w:eastAsia="仿宋" w:cs="仿宋"/>
                <w:color w:val="000000" w:themeColor="text1"/>
                <w:highlight w:val="none"/>
                <w14:textFill>
                  <w14:solidFill>
                    <w14:schemeClr w14:val="tx1"/>
                  </w14:solidFill>
                </w14:textFill>
              </w:rPr>
            </w:pPr>
          </w:p>
        </w:tc>
      </w:tr>
      <w:tr w14:paraId="1C717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599" w:type="dxa"/>
            <w:vMerge w:val="restart"/>
            <w:vAlign w:val="center"/>
          </w:tcPr>
          <w:p w14:paraId="1CE4C14D">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p>
        </w:tc>
        <w:tc>
          <w:tcPr>
            <w:tcW w:w="1793" w:type="dxa"/>
            <w:vMerge w:val="restart"/>
            <w:vAlign w:val="center"/>
          </w:tcPr>
          <w:p w14:paraId="2A8FD01E">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合理化建议</w:t>
            </w:r>
          </w:p>
          <w:p w14:paraId="4A9AE1B3">
            <w:pPr>
              <w:pStyle w:val="2"/>
              <w:ind w:left="0" w:leftChars="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10</w:t>
            </w:r>
            <w:r>
              <w:rPr>
                <w:rFonts w:hint="eastAsia" w:ascii="仿宋" w:hAnsi="仿宋" w:eastAsia="仿宋" w:cs="仿宋"/>
                <w:color w:val="000000" w:themeColor="text1"/>
                <w:highlight w:val="none"/>
                <w14:textFill>
                  <w14:solidFill>
                    <w14:schemeClr w14:val="tx1"/>
                  </w14:solidFill>
                </w14:textFill>
              </w:rPr>
              <w:t>分）</w:t>
            </w:r>
          </w:p>
        </w:tc>
        <w:tc>
          <w:tcPr>
            <w:tcW w:w="3961" w:type="dxa"/>
            <w:vAlign w:val="center"/>
          </w:tcPr>
          <w:p w14:paraId="72BE2466">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科学、合理，执行度高</w:t>
            </w:r>
          </w:p>
        </w:tc>
        <w:tc>
          <w:tcPr>
            <w:tcW w:w="1031" w:type="dxa"/>
            <w:vAlign w:val="center"/>
          </w:tcPr>
          <w:p w14:paraId="380E81E8">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10</w:t>
            </w:r>
          </w:p>
        </w:tc>
        <w:tc>
          <w:tcPr>
            <w:tcW w:w="1135" w:type="dxa"/>
            <w:vMerge w:val="restart"/>
            <w:vAlign w:val="center"/>
          </w:tcPr>
          <w:p w14:paraId="159A58A0">
            <w:pPr>
              <w:jc w:val="center"/>
              <w:rPr>
                <w:rFonts w:hint="eastAsia" w:ascii="仿宋" w:hAnsi="仿宋" w:eastAsia="仿宋" w:cs="仿宋"/>
                <w:color w:val="000000" w:themeColor="text1"/>
                <w:highlight w:val="none"/>
                <w14:textFill>
                  <w14:solidFill>
                    <w14:schemeClr w14:val="tx1"/>
                  </w14:solidFill>
                </w14:textFill>
              </w:rPr>
            </w:pPr>
          </w:p>
        </w:tc>
      </w:tr>
      <w:tr w14:paraId="5B4B4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76C938BB">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4958FFA8">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148E4B70">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较科学、合理，执行度较高</w:t>
            </w:r>
          </w:p>
        </w:tc>
        <w:tc>
          <w:tcPr>
            <w:tcW w:w="1031" w:type="dxa"/>
            <w:vAlign w:val="center"/>
          </w:tcPr>
          <w:p w14:paraId="09C0F6F6">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6</w:t>
            </w:r>
          </w:p>
        </w:tc>
        <w:tc>
          <w:tcPr>
            <w:tcW w:w="1135" w:type="dxa"/>
            <w:vMerge w:val="continue"/>
            <w:vAlign w:val="center"/>
          </w:tcPr>
          <w:p w14:paraId="48389C47">
            <w:pPr>
              <w:jc w:val="center"/>
              <w:rPr>
                <w:rFonts w:hint="eastAsia" w:ascii="仿宋" w:hAnsi="仿宋" w:eastAsia="仿宋" w:cs="仿宋"/>
                <w:color w:val="000000" w:themeColor="text1"/>
                <w:highlight w:val="none"/>
                <w14:textFill>
                  <w14:solidFill>
                    <w14:schemeClr w14:val="tx1"/>
                  </w14:solidFill>
                </w14:textFill>
              </w:rPr>
            </w:pPr>
          </w:p>
        </w:tc>
      </w:tr>
      <w:tr w14:paraId="71312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99" w:type="dxa"/>
            <w:vMerge w:val="continue"/>
            <w:vAlign w:val="center"/>
          </w:tcPr>
          <w:p w14:paraId="23D4BB11">
            <w:pPr>
              <w:jc w:val="center"/>
              <w:rPr>
                <w:rFonts w:hint="eastAsia" w:ascii="仿宋" w:hAnsi="仿宋" w:eastAsia="仿宋" w:cs="仿宋"/>
                <w:color w:val="000000" w:themeColor="text1"/>
                <w:highlight w:val="none"/>
                <w14:textFill>
                  <w14:solidFill>
                    <w14:schemeClr w14:val="tx1"/>
                  </w14:solidFill>
                </w14:textFill>
              </w:rPr>
            </w:pPr>
          </w:p>
        </w:tc>
        <w:tc>
          <w:tcPr>
            <w:tcW w:w="1793" w:type="dxa"/>
            <w:vMerge w:val="continue"/>
            <w:vAlign w:val="center"/>
          </w:tcPr>
          <w:p w14:paraId="1C037738">
            <w:pPr>
              <w:jc w:val="center"/>
              <w:rPr>
                <w:rFonts w:hint="eastAsia" w:ascii="仿宋" w:hAnsi="仿宋" w:eastAsia="仿宋" w:cs="仿宋"/>
                <w:color w:val="000000" w:themeColor="text1"/>
                <w:highlight w:val="none"/>
                <w14:textFill>
                  <w14:solidFill>
                    <w14:schemeClr w14:val="tx1"/>
                  </w14:solidFill>
                </w14:textFill>
              </w:rPr>
            </w:pPr>
          </w:p>
        </w:tc>
        <w:tc>
          <w:tcPr>
            <w:tcW w:w="3961" w:type="dxa"/>
            <w:vAlign w:val="center"/>
          </w:tcPr>
          <w:p w14:paraId="21548A5F">
            <w:pPr>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合理，执行度一般</w:t>
            </w:r>
          </w:p>
        </w:tc>
        <w:tc>
          <w:tcPr>
            <w:tcW w:w="1031" w:type="dxa"/>
            <w:vAlign w:val="center"/>
          </w:tcPr>
          <w:p w14:paraId="7DA754FB">
            <w:pPr>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0-</w:t>
            </w:r>
            <w:r>
              <w:rPr>
                <w:rFonts w:hint="eastAsia" w:ascii="仿宋" w:hAnsi="仿宋" w:eastAsia="仿宋" w:cs="仿宋"/>
                <w:color w:val="000000" w:themeColor="text1"/>
                <w:highlight w:val="none"/>
                <w:lang w:val="en-US" w:eastAsia="zh-CN"/>
                <w14:textFill>
                  <w14:solidFill>
                    <w14:schemeClr w14:val="tx1"/>
                  </w14:solidFill>
                </w14:textFill>
              </w:rPr>
              <w:t>3</w:t>
            </w:r>
          </w:p>
        </w:tc>
        <w:tc>
          <w:tcPr>
            <w:tcW w:w="1135" w:type="dxa"/>
            <w:vMerge w:val="continue"/>
            <w:vAlign w:val="center"/>
          </w:tcPr>
          <w:p w14:paraId="4228C049">
            <w:pPr>
              <w:jc w:val="center"/>
              <w:rPr>
                <w:rFonts w:hint="eastAsia" w:ascii="仿宋" w:hAnsi="仿宋" w:eastAsia="仿宋" w:cs="仿宋"/>
                <w:color w:val="000000" w:themeColor="text1"/>
                <w:highlight w:val="none"/>
                <w14:textFill>
                  <w14:solidFill>
                    <w14:schemeClr w14:val="tx1"/>
                  </w14:solidFill>
                </w14:textFill>
              </w:rPr>
            </w:pPr>
          </w:p>
        </w:tc>
      </w:tr>
      <w:tr w14:paraId="430EF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99" w:type="dxa"/>
            <w:vAlign w:val="center"/>
          </w:tcPr>
          <w:p w14:paraId="52D4C4C3">
            <w:pPr>
              <w:jc w:val="center"/>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6</w:t>
            </w:r>
          </w:p>
        </w:tc>
        <w:tc>
          <w:tcPr>
            <w:tcW w:w="6785" w:type="dxa"/>
            <w:gridSpan w:val="3"/>
            <w:vAlign w:val="center"/>
          </w:tcPr>
          <w:p w14:paraId="714DC9AE">
            <w:pPr>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   计</w:t>
            </w:r>
          </w:p>
        </w:tc>
        <w:tc>
          <w:tcPr>
            <w:tcW w:w="1135" w:type="dxa"/>
            <w:vAlign w:val="center"/>
          </w:tcPr>
          <w:p w14:paraId="13033902">
            <w:pPr>
              <w:jc w:val="center"/>
              <w:rPr>
                <w:rFonts w:hint="eastAsia" w:ascii="仿宋" w:hAnsi="仿宋" w:eastAsia="仿宋" w:cs="仿宋"/>
                <w:color w:val="000000" w:themeColor="text1"/>
                <w:highlight w:val="none"/>
                <w14:textFill>
                  <w14:solidFill>
                    <w14:schemeClr w14:val="tx1"/>
                  </w14:solidFill>
                </w14:textFill>
              </w:rPr>
            </w:pPr>
          </w:p>
        </w:tc>
      </w:tr>
    </w:tbl>
    <w:p w14:paraId="4445F8C5">
      <w:pPr>
        <w:pStyle w:val="5"/>
        <w:ind w:firstLine="270"/>
        <w:rPr>
          <w:rFonts w:hint="eastAsia" w:ascii="仿宋" w:hAnsi="仿宋" w:eastAsia="仿宋" w:cs="仿宋"/>
          <w:color w:val="000000" w:themeColor="text1"/>
          <w:spacing w:val="15"/>
          <w:kern w:val="0"/>
          <w:sz w:val="24"/>
          <w:highlight w:val="none"/>
          <w14:textFill>
            <w14:solidFill>
              <w14:schemeClr w14:val="tx1"/>
            </w14:solidFill>
          </w14:textFill>
        </w:rPr>
      </w:pPr>
      <w:r>
        <w:rPr>
          <w:rFonts w:hint="eastAsia" w:ascii="仿宋" w:hAnsi="仿宋" w:eastAsia="仿宋" w:cs="仿宋"/>
          <w:color w:val="000000" w:themeColor="text1"/>
          <w:spacing w:val="15"/>
          <w:kern w:val="0"/>
          <w:sz w:val="24"/>
          <w:highlight w:val="none"/>
          <w14:textFill>
            <w14:solidFill>
              <w14:schemeClr w14:val="tx1"/>
            </w14:solidFill>
          </w14:textFill>
        </w:rPr>
        <w:t>备注：技术部分评分由专家独立打分，再取平均值。</w:t>
      </w:r>
    </w:p>
    <w:p w14:paraId="34CE04A9">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ECC7C"/>
    <w:multiLevelType w:val="singleLevel"/>
    <w:tmpl w:val="FFBECC7C"/>
    <w:lvl w:ilvl="0" w:tentative="0">
      <w:start w:val="1"/>
      <w:numFmt w:val="decimal"/>
      <w:suff w:val="nothing"/>
      <w:lvlText w:val="（%1）"/>
      <w:lvlJc w:val="left"/>
    </w:lvl>
  </w:abstractNum>
  <w:abstractNum w:abstractNumId="1">
    <w:nsid w:val="056D2D05"/>
    <w:multiLevelType w:val="singleLevel"/>
    <w:tmpl w:val="056D2D05"/>
    <w:lvl w:ilvl="0" w:tentative="0">
      <w:start w:val="1"/>
      <w:numFmt w:val="decimal"/>
      <w:suff w:val="nothing"/>
      <w:lvlText w:val="%1、"/>
      <w:lvlJc w:val="left"/>
      <w:pPr>
        <w:ind w:left="24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E3C11"/>
    <w:rsid w:val="2A525AA4"/>
    <w:rsid w:val="2D08329B"/>
    <w:rsid w:val="3C50480E"/>
    <w:rsid w:val="4B475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Body Text"/>
    <w:basedOn w:val="1"/>
    <w:next w:val="4"/>
    <w:qFormat/>
    <w:uiPriority w:val="0"/>
    <w:pPr>
      <w:spacing w:after="120"/>
    </w:pPr>
    <w:rPr>
      <w:rFonts w:ascii="Times New Roman" w:hAnsi="Times New Roman"/>
      <w:szCs w:val="24"/>
    </w:rPr>
  </w:style>
  <w:style w:type="paragraph" w:styleId="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5">
    <w:name w:val="Body Text First Indent"/>
    <w:basedOn w:val="3"/>
    <w:qFormat/>
    <w:uiPriority w:val="0"/>
    <w:pPr>
      <w:ind w:firstLine="420" w:firstLineChars="100"/>
    </w:pPr>
    <w:rPr>
      <w:szCs w:val="20"/>
    </w:rPr>
  </w:style>
  <w:style w:type="paragraph" w:customStyle="1" w:styleId="8">
    <w:name w:val="正文文本首行缩进"/>
    <w:basedOn w:val="3"/>
    <w:qFormat/>
    <w:uiPriority w:val="0"/>
    <w:pPr>
      <w:ind w:firstLine="420" w:firstLineChars="10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1935</Words>
  <Characters>2030</Characters>
  <Lines>0</Lines>
  <Paragraphs>0</Paragraphs>
  <TotalTime>0</TotalTime>
  <ScaleCrop>false</ScaleCrop>
  <LinksUpToDate>false</LinksUpToDate>
  <CharactersWithSpaces>2040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2026-04-14T03:46:00Z</dcterms:created>
  <dc:creator>Administrator</dc:creator>
  <cp:lastModifiedBy>WPS_1505362053</cp:lastModifiedBy>
  <dcterms:modified xsi:type="dcterms:W3CDTF">2026-07-24T07:36:24Z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eyJoZGlkIjoiMzEwNTM5NzYwMDRjMzkwZTVkZjY2ODkwMGIxNGU0OTUiLCJ1c2VySWQiOiIzMDI3Mzk3NzcifQ==</vt:lpwstr>
  </property>
  <property fmtid="{D5CDD505-2E9C-101B-9397-08002B2CF9AE}" pid="4" name="ICV">
    <vt:lpwstr>E9A1FD6B3CEF4459B076E678175999BA_13</vt:lpwstr>
  </property>
</Properties>
</file>