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8A617D">
      <w:pPr>
        <w:widowControl/>
        <w:spacing w:line="600" w:lineRule="exact"/>
        <w:jc w:val="left"/>
        <w:rPr>
          <w:rFonts w:eastAsia="仿宋_GB2312"/>
          <w:bCs/>
          <w:kern w:val="0"/>
          <w:sz w:val="32"/>
          <w:szCs w:val="32"/>
        </w:rPr>
      </w:pPr>
      <w:r>
        <w:rPr>
          <w:rFonts w:eastAsia="仿宋_GB2312"/>
          <w:bCs/>
          <w:kern w:val="0"/>
          <w:sz w:val="32"/>
          <w:szCs w:val="32"/>
        </w:rPr>
        <w:t>附件</w:t>
      </w:r>
      <w:r>
        <w:rPr>
          <w:rFonts w:hint="eastAsia" w:eastAsia="仿宋_GB2312"/>
          <w:bCs/>
          <w:kern w:val="0"/>
          <w:sz w:val="32"/>
          <w:szCs w:val="32"/>
        </w:rPr>
        <w:t>2</w:t>
      </w:r>
      <w:r>
        <w:rPr>
          <w:rFonts w:eastAsia="仿宋_GB2312"/>
          <w:bCs/>
          <w:kern w:val="0"/>
          <w:sz w:val="32"/>
          <w:szCs w:val="32"/>
        </w:rPr>
        <w:t>：</w:t>
      </w:r>
    </w:p>
    <w:p w14:paraId="1668F0BA">
      <w:pPr>
        <w:widowControl/>
        <w:spacing w:line="600" w:lineRule="exact"/>
        <w:jc w:val="center"/>
        <w:rPr>
          <w:rFonts w:eastAsia="方正小标宋_GBK"/>
          <w:bCs/>
          <w:kern w:val="0"/>
          <w:sz w:val="44"/>
          <w:szCs w:val="44"/>
        </w:rPr>
      </w:pPr>
      <w:r>
        <w:rPr>
          <w:rFonts w:hint="eastAsia" w:eastAsia="方正小标宋_GBK"/>
          <w:bCs/>
          <w:kern w:val="0"/>
          <w:sz w:val="44"/>
          <w:szCs w:val="44"/>
          <w:lang w:val="en-US" w:eastAsia="zh-CN"/>
        </w:rPr>
        <w:t>2025</w:t>
      </w:r>
      <w:r>
        <w:rPr>
          <w:rFonts w:eastAsia="方正小标宋_GBK"/>
          <w:bCs/>
          <w:kern w:val="0"/>
          <w:sz w:val="44"/>
          <w:szCs w:val="44"/>
        </w:rPr>
        <w:t>年</w:t>
      </w:r>
      <w:r>
        <w:rPr>
          <w:rFonts w:hint="eastAsia" w:eastAsia="方正小标宋_GBK"/>
          <w:bCs/>
          <w:kern w:val="0"/>
          <w:sz w:val="44"/>
          <w:szCs w:val="44"/>
        </w:rPr>
        <w:t>政府决</w:t>
      </w:r>
      <w:r>
        <w:rPr>
          <w:rFonts w:eastAsia="方正小标宋_GBK"/>
          <w:bCs/>
          <w:kern w:val="0"/>
          <w:sz w:val="44"/>
          <w:szCs w:val="44"/>
        </w:rPr>
        <w:t>算</w:t>
      </w:r>
      <w:r>
        <w:rPr>
          <w:rFonts w:hint="eastAsia" w:eastAsia="方正小标宋_GBK"/>
          <w:bCs/>
          <w:kern w:val="0"/>
          <w:sz w:val="44"/>
          <w:szCs w:val="44"/>
        </w:rPr>
        <w:t>公开</w:t>
      </w:r>
    </w:p>
    <w:p w14:paraId="65AB6096">
      <w:pPr>
        <w:widowControl/>
        <w:spacing w:line="600" w:lineRule="exact"/>
        <w:jc w:val="center"/>
        <w:rPr>
          <w:rFonts w:eastAsia="楷体_GB2312"/>
          <w:bCs/>
          <w:kern w:val="0"/>
          <w:sz w:val="32"/>
          <w:szCs w:val="32"/>
        </w:rPr>
      </w:pPr>
    </w:p>
    <w:p w14:paraId="07226B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eastAsia="黑体"/>
          <w:bCs/>
          <w:kern w:val="0"/>
          <w:sz w:val="32"/>
          <w:szCs w:val="32"/>
        </w:rPr>
      </w:pPr>
      <w:r>
        <w:rPr>
          <w:rFonts w:eastAsia="黑体"/>
          <w:bCs/>
          <w:kern w:val="0"/>
          <w:sz w:val="32"/>
          <w:szCs w:val="32"/>
        </w:rPr>
        <w:t>目 录</w:t>
      </w:r>
    </w:p>
    <w:p w14:paraId="7583C2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eastAsia="方正小标宋_GBK"/>
          <w:bCs/>
          <w:kern w:val="0"/>
          <w:sz w:val="32"/>
          <w:szCs w:val="32"/>
        </w:rPr>
      </w:pPr>
      <w:r>
        <w:rPr>
          <w:rFonts w:eastAsia="仿宋_GB2312"/>
          <w:b/>
          <w:bCs/>
          <w:kern w:val="0"/>
          <w:sz w:val="32"/>
          <w:szCs w:val="32"/>
        </w:rPr>
        <w:t>第一部分</w:t>
      </w:r>
      <w:r>
        <w:rPr>
          <w:rFonts w:hint="eastAsia" w:eastAsia="仿宋_GB2312"/>
          <w:b/>
          <w:bCs/>
          <w:kern w:val="0"/>
          <w:sz w:val="32"/>
          <w:szCs w:val="32"/>
        </w:rPr>
        <w:t xml:space="preserve"> 预决算报告</w:t>
      </w:r>
    </w:p>
    <w:p w14:paraId="49BCDD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jc w:val="left"/>
        <w:textAlignment w:val="auto"/>
        <w:rPr>
          <w:rFonts w:hint="eastAsia" w:eastAsia="仿宋_GB2312"/>
          <w:b/>
          <w:bCs/>
          <w:kern w:val="0"/>
          <w:sz w:val="32"/>
          <w:szCs w:val="32"/>
        </w:rPr>
      </w:pPr>
      <w:r>
        <w:rPr>
          <w:rFonts w:eastAsia="仿宋_GB2312"/>
          <w:b/>
          <w:bCs/>
          <w:kern w:val="0"/>
          <w:sz w:val="32"/>
          <w:szCs w:val="32"/>
        </w:rPr>
        <w:t>第二部分</w:t>
      </w:r>
      <w:r>
        <w:rPr>
          <w:rFonts w:hint="eastAsia" w:eastAsia="仿宋_GB2312"/>
          <w:b/>
          <w:bCs/>
          <w:kern w:val="0"/>
          <w:sz w:val="32"/>
          <w:szCs w:val="32"/>
        </w:rPr>
        <w:t xml:space="preserve"> 预决算草</w:t>
      </w:r>
    </w:p>
    <w:p w14:paraId="232063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1、一般公共预算收入决算表</w:t>
      </w:r>
    </w:p>
    <w:p w14:paraId="409C17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2、一般公共预算支出决算表</w:t>
      </w:r>
    </w:p>
    <w:p w14:paraId="019E54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</w:rPr>
        <w:t>3、一般公共预算本级支出决算</w:t>
      </w:r>
      <w:r>
        <w:rPr>
          <w:rFonts w:hint="eastAsia" w:eastAsia="仿宋_GB2312"/>
          <w:sz w:val="32"/>
          <w:szCs w:val="32"/>
          <w:lang w:eastAsia="zh-CN"/>
        </w:rPr>
        <w:t>表</w:t>
      </w:r>
    </w:p>
    <w:p w14:paraId="3BFF2C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4、一般公共预算基本支出决算表</w:t>
      </w:r>
    </w:p>
    <w:p w14:paraId="285FA5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-340" w:rightChars="-162"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5、一般公共预算对下税收返还和转移支付决算分项目表</w:t>
      </w:r>
    </w:p>
    <w:p w14:paraId="76366C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16" w:firstLineChars="200"/>
        <w:jc w:val="left"/>
        <w:textAlignment w:val="auto"/>
        <w:rPr>
          <w:rFonts w:hint="eastAsia" w:eastAsia="仿宋_GB2312"/>
          <w:spacing w:val="-6"/>
          <w:sz w:val="32"/>
          <w:szCs w:val="32"/>
        </w:rPr>
      </w:pPr>
      <w:r>
        <w:rPr>
          <w:rFonts w:hint="eastAsia" w:eastAsia="仿宋_GB2312"/>
          <w:spacing w:val="-6"/>
          <w:sz w:val="32"/>
          <w:szCs w:val="32"/>
        </w:rPr>
        <w:t>6、一般公共预算对下税收返还和转移支付决算分地区表</w:t>
      </w:r>
    </w:p>
    <w:p w14:paraId="70C194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7、政府性基金收入决算表</w:t>
      </w:r>
    </w:p>
    <w:p w14:paraId="26D11A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8、政府性基金支出决算表</w:t>
      </w:r>
    </w:p>
    <w:p w14:paraId="401EE4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9、政府性基金本级支出决算表</w:t>
      </w:r>
    </w:p>
    <w:p w14:paraId="5AF07D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10、政府性基金转移支付预算分项目表</w:t>
      </w:r>
    </w:p>
    <w:p w14:paraId="521335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11、政府性基金转移支付预算分地区表</w:t>
      </w:r>
    </w:p>
    <w:p w14:paraId="65F7F9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12、国有资本经营收入决算表</w:t>
      </w:r>
    </w:p>
    <w:p w14:paraId="70D3D0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13、国有资本经营支出决算表</w:t>
      </w:r>
    </w:p>
    <w:p w14:paraId="5A5983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14、社会保险基金收入决算表</w:t>
      </w:r>
    </w:p>
    <w:p w14:paraId="2CE294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15、社会保险基金支出决算表</w:t>
      </w:r>
    </w:p>
    <w:p w14:paraId="34FBA9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16、地方政府一般债务和专项债务限额和余额情况表</w:t>
      </w:r>
    </w:p>
    <w:p w14:paraId="2F9502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jc w:val="left"/>
        <w:textAlignment w:val="auto"/>
        <w:rPr>
          <w:rFonts w:hint="eastAsia" w:eastAsia="仿宋_GB2312"/>
          <w:b/>
          <w:bCs/>
          <w:kern w:val="0"/>
          <w:sz w:val="32"/>
          <w:szCs w:val="32"/>
        </w:rPr>
      </w:pPr>
      <w:r>
        <w:rPr>
          <w:rFonts w:eastAsia="仿宋_GB2312"/>
          <w:b/>
          <w:bCs/>
          <w:kern w:val="0"/>
          <w:sz w:val="32"/>
          <w:szCs w:val="32"/>
        </w:rPr>
        <w:t>第</w:t>
      </w:r>
      <w:r>
        <w:rPr>
          <w:rFonts w:hint="eastAsia" w:eastAsia="仿宋_GB2312"/>
          <w:b/>
          <w:bCs/>
          <w:kern w:val="0"/>
          <w:sz w:val="32"/>
          <w:szCs w:val="32"/>
        </w:rPr>
        <w:t>三</w:t>
      </w:r>
      <w:r>
        <w:rPr>
          <w:rFonts w:eastAsia="仿宋_GB2312"/>
          <w:b/>
          <w:bCs/>
          <w:kern w:val="0"/>
          <w:sz w:val="32"/>
          <w:szCs w:val="32"/>
        </w:rPr>
        <w:t xml:space="preserve">部分 </w:t>
      </w:r>
      <w:r>
        <w:rPr>
          <w:rFonts w:hint="eastAsia" w:eastAsia="仿宋_GB2312"/>
          <w:b/>
          <w:bCs/>
          <w:kern w:val="0"/>
          <w:sz w:val="32"/>
          <w:szCs w:val="32"/>
        </w:rPr>
        <w:t>相关说明</w:t>
      </w:r>
    </w:p>
    <w:p w14:paraId="4F8CA0FC">
      <w:pPr>
        <w:widowControl/>
        <w:spacing w:line="600" w:lineRule="exact"/>
        <w:jc w:val="center"/>
        <w:rPr>
          <w:rFonts w:eastAsia="方正小标宋_GBK"/>
          <w:bCs/>
          <w:kern w:val="0"/>
          <w:sz w:val="36"/>
          <w:szCs w:val="36"/>
        </w:rPr>
      </w:pPr>
    </w:p>
    <w:p w14:paraId="3A92F4AC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  <w:lang w:eastAsia="zh-CN"/>
        </w:rPr>
      </w:pPr>
      <w:r>
        <w:rPr>
          <w:rFonts w:eastAsia="方正小标宋_GBK"/>
          <w:bCs/>
          <w:kern w:val="0"/>
          <w:sz w:val="36"/>
          <w:szCs w:val="36"/>
        </w:rPr>
        <w:br w:type="page"/>
      </w:r>
      <w:r>
        <w:rPr>
          <w:rFonts w:eastAsia="方正小标宋_GBK"/>
          <w:bCs/>
          <w:kern w:val="0"/>
          <w:sz w:val="36"/>
          <w:szCs w:val="36"/>
        </w:rPr>
        <w:t>第一部分</w:t>
      </w:r>
      <w:r>
        <w:rPr>
          <w:rFonts w:hint="eastAsia" w:eastAsia="方正小标宋_GBK"/>
          <w:bCs/>
          <w:kern w:val="0"/>
          <w:sz w:val="36"/>
          <w:szCs w:val="36"/>
        </w:rPr>
        <w:t xml:space="preserve"> 决算报</w:t>
      </w:r>
      <w:r>
        <w:rPr>
          <w:rFonts w:hint="eastAsia" w:eastAsia="方正小标宋_GBK"/>
          <w:bCs/>
          <w:kern w:val="0"/>
          <w:sz w:val="36"/>
          <w:szCs w:val="36"/>
          <w:lang w:eastAsia="zh-CN"/>
        </w:rPr>
        <w:t>告</w:t>
      </w:r>
    </w:p>
    <w:p w14:paraId="535D8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  <w:t>一、</w:t>
      </w:r>
      <w:r>
        <w:rPr>
          <w:rFonts w:hint="eastAsia" w:eastAsia="黑体" w:cs="Times New Roman"/>
          <w:color w:val="000000"/>
          <w:sz w:val="32"/>
          <w:szCs w:val="32"/>
          <w:highlight w:val="none"/>
          <w:lang w:eastAsia="zh-CN"/>
        </w:rPr>
        <w:t>202</w:t>
      </w:r>
      <w:r>
        <w:rPr>
          <w:rFonts w:hint="eastAsia" w:eastAsia="黑体" w:cs="Times New Roman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  <w:lang w:eastAsia="zh-CN"/>
        </w:rPr>
        <w:t>财政决算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</w:rPr>
        <w:t>情况</w:t>
      </w:r>
    </w:p>
    <w:p w14:paraId="63A1052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0"/>
          <w:sz w:val="32"/>
          <w:szCs w:val="32"/>
          <w:lang w:val="en-US" w:eastAsia="zh-CN"/>
        </w:rPr>
        <w:t>2025年是“十四五”规划收官之年，也是我县财政顶住下行压力、攻坚化险改革的关键一年。全县财政部门坚持以习近平新时代中国特色社会主义思想为指导，深入贯彻党的二十大和二十届三中、四中全会精神，全面落实中央、省、市财政工作部署，在县委、县政府的坚强领导和县人大、县政协的监督支持下，紧扣高质量发展首要任务，统筹稳增长、促改革、调结构、惠民生、防风险、保稳定各项工作，全年财政运行总体平稳。</w:t>
      </w:r>
    </w:p>
    <w:p w14:paraId="759CF14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二、</w:t>
      </w:r>
      <w:r>
        <w:rPr>
          <w:rFonts w:hint="default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一般公共预算</w:t>
      </w:r>
      <w:r>
        <w:rPr>
          <w:rFonts w:hint="eastAsia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收支决算</w:t>
      </w:r>
      <w:r>
        <w:rPr>
          <w:rFonts w:hint="default" w:ascii="Times New Roman" w:hAnsi="Times New Roman" w:eastAsia="黑体" w:cs="Times New Roman"/>
          <w:bCs w:val="0"/>
          <w:color w:val="000000"/>
          <w:kern w:val="2"/>
          <w:sz w:val="32"/>
          <w:szCs w:val="32"/>
          <w:highlight w:val="none"/>
          <w:lang w:val="en-US" w:eastAsia="zh-CN" w:bidi="ar-SA"/>
        </w:rPr>
        <w:t>情况</w:t>
      </w:r>
    </w:p>
    <w:p w14:paraId="090812D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jc w:val="both"/>
        <w:textAlignment w:val="auto"/>
        <w:rPr>
          <w:rFonts w:hint="eastAsia" w:ascii="Times New Roman" w:hAnsi="Times New Roman" w:eastAsia="楷体_GB2312" w:cs="楷体_GB2312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楷体_GB2312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  <w:t>1.地方一般公共预算收入情况</w:t>
      </w:r>
    </w:p>
    <w:p w14:paraId="75A63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/>
          <w:bCs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2025年，全年地方一般公共预算收入68257万元，同口径下降36.48%，其中，税收收入22644万元，占预算（预算调整数，下同）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的102.83%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；非税收入456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13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万元，占预算的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103.02%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。税收占地方一般公共预算收入的比重为33.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21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%。</w:t>
      </w:r>
      <w:r>
        <w:rPr>
          <w:rFonts w:hint="eastAsia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 xml:space="preserve">   </w:t>
      </w:r>
      <w:r>
        <w:rPr>
          <w:rFonts w:hint="eastAsia" w:ascii="Times New Roman" w:hAnsi="Times New Roman" w:eastAsia="仿宋_GB2312" w:cs="Times New Roman"/>
          <w:b/>
          <w:bCs/>
          <w:color w:val="000000"/>
          <w:spacing w:val="0"/>
          <w:kern w:val="2"/>
          <w:sz w:val="32"/>
          <w:szCs w:val="32"/>
          <w:lang w:val="en-US" w:eastAsia="zh-CN" w:bidi="ar-SA"/>
        </w:rPr>
        <w:t xml:space="preserve"> </w:t>
      </w:r>
    </w:p>
    <w:p w14:paraId="68E3C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eastAsia" w:ascii="Times New Roman" w:hAnsi="Times New Roman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楷体_GB2312"/>
          <w:b/>
          <w:bCs/>
          <w:color w:val="000000"/>
          <w:spacing w:val="0"/>
          <w:kern w:val="2"/>
          <w:sz w:val="32"/>
          <w:szCs w:val="32"/>
          <w:lang w:val="en-US" w:eastAsia="zh-CN" w:bidi="ar-SA"/>
        </w:rPr>
        <w:t>2.一般公共预算支出情况</w:t>
      </w:r>
    </w:p>
    <w:p w14:paraId="542471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2025年，全年地方一般公共预算支出286254万元，其中，一般公共服务支出28312万元，国防支出28万元，公共安全支出10873万元，教育支出62587万元，科学技术支出12618万元，文化旅游体育与传媒支出3378万元，社会保障和就业支出61941万元，卫生健康支出19073万元，节能环保支出4517万元，城乡社区支出4478万元，农林水支出45668万元，交通运输支出8711万元，资源勘探工业信息等支出1953万元，商业服务业等支出1275万元，金融支出365万元，自然资源海洋气象等支出3417万元，住房保障支出8270万元，粮油物资储备支出730万元，灾害防治及应急管理支出1698万元，其他支出895万元，债务付息支出5467万元。民生支出占比达到80.17%，各项重点支出得到较好保障。</w:t>
      </w:r>
    </w:p>
    <w:p w14:paraId="19FA7F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Times New Roman" w:hAnsi="Times New Roman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Times New Roman" w:hAnsi="Times New Roman" w:eastAsia="楷体_GB2312" w:cs="楷体_GB2312"/>
          <w:b/>
          <w:bCs/>
          <w:color w:val="000000"/>
          <w:sz w:val="32"/>
          <w:szCs w:val="32"/>
          <w:highlight w:val="none"/>
          <w:lang w:val="en-US" w:eastAsia="zh-CN"/>
        </w:rPr>
        <w:t xml:space="preserve"> 3.一般公共预算收支平衡情况</w:t>
      </w:r>
    </w:p>
    <w:p w14:paraId="7409841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2025年，地方一般公共预算收入68257万元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上级补助收入193232万元，债务转贷收入42837万元（新增一般债券3300万元，置换一般债券收入15700万元，再融资一般债券19050万元，外贷收入4787万元），调入资金52536万元，上年结余4884万元，收入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总计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361746万元。地方一般公共预算支出286254万元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上解支出5664万元，债务还本支出37570万元（地方政府一般债券还本支出21166万元，地方政府向国际组织借款还本支出704万元，地方政府其他一般债务还本支出15700万元），调出资金26811万元（政府性基金还本付息支出无收入来源，从一般公共预算调出），结转下年支出5447万元，支出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总计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361746万元，当年收支平衡。</w:t>
      </w:r>
    </w:p>
    <w:p w14:paraId="53A3382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jc w:val="both"/>
        <w:textAlignment w:val="auto"/>
        <w:rPr>
          <w:rFonts w:hint="eastAsia" w:ascii="Times New Roman" w:hAnsi="Times New Roman" w:eastAsia="楷体_GB2312" w:cs="楷体_GB2312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楷体_GB2312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  <w:t>（二）政府性基金预算收支</w:t>
      </w:r>
      <w:r>
        <w:rPr>
          <w:rFonts w:hint="eastAsia" w:cs="楷体_GB2312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  <w:t>决算</w:t>
      </w:r>
      <w:r>
        <w:rPr>
          <w:rFonts w:hint="eastAsia" w:ascii="Times New Roman" w:hAnsi="Times New Roman" w:eastAsia="楷体_GB2312" w:cs="楷体_GB2312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  <w:t>情况</w:t>
      </w:r>
    </w:p>
    <w:p w14:paraId="2D6841C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2025年，本级政府性基金收入63430万元（其中国有土地使用权出让金收入54080万元，城市基础设施配套费收入789万元，污水处理费收入661万元，其他政府性基金收入7900万元），占预算的61.88%，加上债务转贷收入76070万元，转移性收入7050万元，上年结余4150万元，调入资金26811万元（政府性基金还本付息支出无收入来源，从一般公共预算调入），收入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总计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177511万元；本级政府性基金支出76626万元，加上地方政府专项债务还本支出41279万元，上解支出64万元，调出资金51711万元，结转下年支出7831万元，支出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总计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177511万元，当年收支平衡。</w:t>
      </w:r>
    </w:p>
    <w:p w14:paraId="221714B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jc w:val="both"/>
        <w:textAlignment w:val="auto"/>
        <w:rPr>
          <w:rFonts w:hint="eastAsia" w:ascii="Times New Roman" w:hAnsi="Times New Roman" w:eastAsia="楷体_GB2312" w:cs="楷体_GB2312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楷体_GB2312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  <w:t>（三）国有资本经营预算收支情况</w:t>
      </w:r>
    </w:p>
    <w:p w14:paraId="4F4CA7C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2025年，国有资本经营预算本级收入1061万元，占预算的242.05%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（主要是新增一次性水资源有偿使用权收入681万元）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，加上转移性收入7万元，上年结余43万元，收入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总计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1111万元；国有资本经营预算支出286万元，国有资本经营预算调出资金825万元，支出</w:t>
      </w:r>
      <w:r>
        <w:rPr>
          <w:rFonts w:hint="eastAsia" w:eastAsia="仿宋_GB2312" w:cs="Times New Roman"/>
          <w:color w:val="000000"/>
          <w:sz w:val="32"/>
          <w:szCs w:val="32"/>
          <w:highlight w:val="none"/>
          <w:lang w:val="en-US" w:eastAsia="zh-CN"/>
        </w:rPr>
        <w:t>总计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1111万元，当年收支平衡。</w:t>
      </w:r>
    </w:p>
    <w:p w14:paraId="732D8E9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jc w:val="both"/>
        <w:textAlignment w:val="auto"/>
        <w:rPr>
          <w:rFonts w:hint="eastAsia" w:ascii="Times New Roman" w:hAnsi="Times New Roman" w:eastAsia="楷体_GB2312" w:cs="楷体_GB2312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楷体_GB2312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  <w:t>（四）社保基金预算收支情况</w:t>
      </w:r>
    </w:p>
    <w:p w14:paraId="3024617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2025年，社会保险基金预算收入59824万元，支出48882万元，年末滚存结余47221万元。分险种来看：机关事业单位养老保险基金收入33014万元，支出32957万元，滚存结余1624万元；城乡居民社会养老保险基金收入26810万元，支出15925万元，滚存结余45597万元。</w:t>
      </w:r>
    </w:p>
    <w:p w14:paraId="34FD9F0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jc w:val="both"/>
        <w:textAlignment w:val="auto"/>
        <w:rPr>
          <w:rFonts w:hint="eastAsia" w:ascii="Times New Roman" w:hAnsi="Times New Roman" w:eastAsia="楷体_GB2312" w:cs="楷体_GB2312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楷体_GB2312" w:cs="楷体_GB2312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  <w:t>（五）地方政府债务情况</w:t>
      </w:r>
    </w:p>
    <w:p w14:paraId="54A473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2025年，我县新增政府债券资金118907万元（包括新增一般债券资金3300万元，新增专项债券资金34800万元，新增置换债券56900万元），偿还地方政府债券本金21949万元（包括再融资债券还本19120万元，自有资金偿还2829万元），置换隐性债务56900万元。截至2025年底，全县政府债务余额为662613万元，其中一般债务余额193855万元，专项债务余额468758万元，严格控制在债务限额之内，风险总体可控。</w:t>
      </w:r>
    </w:p>
    <w:p w14:paraId="12C5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eastAsia="方正小标宋_GBK"/>
          <w:bCs/>
          <w:kern w:val="0"/>
          <w:sz w:val="36"/>
          <w:szCs w:val="36"/>
        </w:rPr>
      </w:pP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过去一年，全县财政部门主动应对收支矛盾加剧、风险挑战叠加的复杂形势，精准施策、攻坚克难，各项财政工作取得阶段性成效：多渠道统筹财力，全年累计争取竞争性转移支付资金</w:t>
      </w:r>
      <w:r>
        <w:rPr>
          <w:rFonts w:hint="eastAsia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120936万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元、各类政府债券资金</w:t>
      </w:r>
      <w:r>
        <w:rPr>
          <w:rFonts w:hint="eastAsia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99787</w:t>
      </w:r>
      <w:r>
        <w:rPr>
          <w:rFonts w:hint="eastAsia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万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元，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盘活国有“三资”及存量资金</w:t>
      </w:r>
      <w:r>
        <w:rPr>
          <w:rFonts w:hint="eastAsia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61236万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highlight w:val="none"/>
          <w:lang w:val="en-US" w:eastAsia="zh-CN" w:bidi="ar-SA"/>
        </w:rPr>
        <w:t>元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，政府采购节约资金</w:t>
      </w:r>
      <w:r>
        <w:rPr>
          <w:rFonts w:hint="eastAsia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2400万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元，政府性融资担保在保余额同比增长13.54%，县财信担保公司获评全省A级融资机构；持续加大民生投入，全年民生支出达</w:t>
      </w:r>
      <w:r>
        <w:rPr>
          <w:rFonts w:hint="eastAsia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220300万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元，占一般公共预算支出比重稳定在76%以上，教育公用经费、学前教育免费、生育补贴、养老服务等民生政策全面落实；纵深推进零基预算改革，压减一般性专项经费2270万元、低效无效项目138项，建立“绩效优先”的预算分配机制，惠农补贴、保障性安居工程等领域专项监督有力，严肃了财经纪律；坚决守牢风险底线，全年化解隐性债务</w:t>
      </w:r>
      <w:r>
        <w:rPr>
          <w:rFonts w:hint="eastAsia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64200万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元，完成年度任务的258.87%，成为全市首个实现政府隐性债务动态清零的县，“三保”支出达1691</w:t>
      </w:r>
      <w:r>
        <w:rPr>
          <w:rFonts w:hint="eastAsia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18万</w:t>
      </w:r>
      <w:r>
        <w:rPr>
          <w:rFonts w:hint="default" w:ascii="Times New Roman" w:hAnsi="Times New Roman" w:eastAsia="仿宋_GB2312" w:cs="Times New Roman"/>
          <w:bCs w:val="0"/>
          <w:color w:val="000000"/>
          <w:spacing w:val="0"/>
          <w:kern w:val="2"/>
          <w:sz w:val="32"/>
          <w:szCs w:val="32"/>
          <w:lang w:val="en-US" w:eastAsia="zh-CN" w:bidi="ar-SA"/>
        </w:rPr>
        <w:t>元，执行进度97.69%，未发生财政运行风险事件。在总结成效的同时，我们也清醒认识到，全县财政运行仍面临增收基础不牢、刚性支出持续增长、债务还本付息压力加大等困难挑战，对此我们将高度重视，在今后工作中采取有力措施切实解决。</w:t>
      </w:r>
    </w:p>
    <w:p w14:paraId="2873444E">
      <w:pPr>
        <w:widowControl/>
        <w:spacing w:line="600" w:lineRule="exact"/>
        <w:jc w:val="center"/>
        <w:rPr>
          <w:rFonts w:eastAsia="方正小标宋_GBK"/>
          <w:bCs/>
          <w:kern w:val="0"/>
          <w:sz w:val="36"/>
          <w:szCs w:val="36"/>
        </w:rPr>
      </w:pPr>
    </w:p>
    <w:p w14:paraId="312852D6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  <w:r>
        <w:rPr>
          <w:rFonts w:eastAsia="方正小标宋_GBK"/>
          <w:bCs/>
          <w:kern w:val="0"/>
          <w:sz w:val="36"/>
          <w:szCs w:val="36"/>
        </w:rPr>
        <w:t>第二部分</w:t>
      </w:r>
      <w:r>
        <w:rPr>
          <w:rFonts w:hint="eastAsia" w:eastAsia="方正小标宋_GBK"/>
          <w:bCs/>
          <w:kern w:val="0"/>
          <w:sz w:val="36"/>
          <w:szCs w:val="36"/>
        </w:rPr>
        <w:t xml:space="preserve"> 决算草案</w:t>
      </w:r>
    </w:p>
    <w:p w14:paraId="157A7BA5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lang w:val="en-US" w:eastAsia="zh-CN"/>
        </w:rPr>
        <w:t>详见2025年决算公开表格</w:t>
      </w:r>
    </w:p>
    <w:p w14:paraId="530535AA">
      <w:pPr>
        <w:pStyle w:val="5"/>
        <w:rPr>
          <w:rFonts w:hint="default"/>
          <w:lang w:val="en-US" w:eastAsia="zh-CN"/>
        </w:rPr>
      </w:pPr>
    </w:p>
    <w:p w14:paraId="74611D9A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1317C4A0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4DD2BB08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7930E552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3FBD10A8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2B171D23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3601DC16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7472B79A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7DF3F9F1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14263449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550A9F91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71ECEDAF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215834E6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0DDEB002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4B5319B9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7B59CBDD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7CCB20BC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24B02BA1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0D96F145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5BA51CFF">
      <w:pPr>
        <w:widowControl/>
        <w:spacing w:line="600" w:lineRule="exact"/>
        <w:jc w:val="both"/>
        <w:rPr>
          <w:rFonts w:hint="eastAsia" w:eastAsia="方正小标宋_GBK"/>
          <w:bCs/>
          <w:kern w:val="0"/>
          <w:sz w:val="36"/>
          <w:szCs w:val="36"/>
        </w:rPr>
      </w:pPr>
    </w:p>
    <w:p w14:paraId="068A8B2B">
      <w:pPr>
        <w:widowControl/>
        <w:spacing w:line="600" w:lineRule="exact"/>
        <w:jc w:val="center"/>
        <w:rPr>
          <w:rFonts w:hint="eastAsia" w:eastAsia="方正小标宋_GBK"/>
          <w:bCs/>
          <w:kern w:val="0"/>
          <w:sz w:val="36"/>
          <w:szCs w:val="36"/>
        </w:rPr>
      </w:pPr>
    </w:p>
    <w:p w14:paraId="7A0716B0">
      <w:pPr>
        <w:widowControl/>
        <w:spacing w:line="600" w:lineRule="exact"/>
        <w:jc w:val="center"/>
        <w:rPr>
          <w:rFonts w:eastAsia="方正小标宋_GBK"/>
          <w:bCs/>
          <w:kern w:val="0"/>
          <w:sz w:val="36"/>
          <w:szCs w:val="36"/>
        </w:rPr>
      </w:pPr>
      <w:r>
        <w:rPr>
          <w:rFonts w:eastAsia="方正小标宋_GBK"/>
          <w:bCs/>
          <w:kern w:val="0"/>
          <w:sz w:val="36"/>
          <w:szCs w:val="36"/>
        </w:rPr>
        <w:t>第</w:t>
      </w:r>
      <w:r>
        <w:rPr>
          <w:rFonts w:hint="eastAsia" w:eastAsia="方正小标宋_GBK"/>
          <w:bCs/>
          <w:kern w:val="0"/>
          <w:sz w:val="36"/>
          <w:szCs w:val="36"/>
        </w:rPr>
        <w:t>三</w:t>
      </w:r>
      <w:r>
        <w:rPr>
          <w:rFonts w:eastAsia="方正小标宋_GBK"/>
          <w:bCs/>
          <w:kern w:val="0"/>
          <w:sz w:val="36"/>
          <w:szCs w:val="36"/>
        </w:rPr>
        <w:t xml:space="preserve">部分 </w:t>
      </w:r>
      <w:r>
        <w:rPr>
          <w:rFonts w:hint="eastAsia" w:eastAsia="方正小标宋_GBK"/>
          <w:bCs/>
          <w:kern w:val="0"/>
          <w:sz w:val="36"/>
          <w:szCs w:val="36"/>
        </w:rPr>
        <w:t>相关</w:t>
      </w:r>
      <w:r>
        <w:rPr>
          <w:rFonts w:eastAsia="方正小标宋_GBK"/>
          <w:bCs/>
          <w:kern w:val="0"/>
          <w:sz w:val="36"/>
          <w:szCs w:val="36"/>
        </w:rPr>
        <w:t>说明</w:t>
      </w:r>
    </w:p>
    <w:p w14:paraId="392CA2CA">
      <w:pPr>
        <w:spacing w:line="600" w:lineRule="exact"/>
        <w:rPr>
          <w:sz w:val="32"/>
          <w:szCs w:val="32"/>
        </w:rPr>
      </w:pPr>
    </w:p>
    <w:p w14:paraId="040D7937">
      <w:pPr>
        <w:spacing w:line="600" w:lineRule="exact"/>
        <w:ind w:firstLine="640" w:firstLineChars="200"/>
        <w:rPr>
          <w:rFonts w:eastAsia="黑体"/>
          <w:color w:val="000000"/>
          <w:sz w:val="32"/>
          <w:szCs w:val="32"/>
        </w:rPr>
      </w:pPr>
      <w:r>
        <w:rPr>
          <w:rFonts w:eastAsia="黑体"/>
          <w:sz w:val="32"/>
          <w:szCs w:val="32"/>
        </w:rPr>
        <w:t>一、</w:t>
      </w:r>
      <w:r>
        <w:rPr>
          <w:rFonts w:eastAsia="黑体"/>
          <w:color w:val="000000"/>
          <w:sz w:val="32"/>
          <w:szCs w:val="32"/>
        </w:rPr>
        <w:t>税收返还和转移支付情况</w:t>
      </w:r>
    </w:p>
    <w:p w14:paraId="7D3FD5D5">
      <w:pPr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2024</w:t>
      </w:r>
      <w:r>
        <w:rPr>
          <w:rFonts w:eastAsia="仿宋_GB2312"/>
          <w:color w:val="000000"/>
          <w:sz w:val="32"/>
          <w:szCs w:val="32"/>
          <w:highlight w:val="none"/>
        </w:rPr>
        <w:t>年，</w:t>
      </w:r>
      <w:r>
        <w:rPr>
          <w:rFonts w:hint="eastAsia" w:eastAsia="仿宋_GB2312"/>
          <w:color w:val="000000"/>
          <w:sz w:val="32"/>
          <w:szCs w:val="32"/>
          <w:highlight w:val="none"/>
          <w:lang w:eastAsia="zh-CN"/>
        </w:rPr>
        <w:t>上</w:t>
      </w:r>
      <w:r>
        <w:rPr>
          <w:rFonts w:hint="eastAsia" w:eastAsia="仿宋_GB2312"/>
          <w:color w:val="000000"/>
          <w:sz w:val="32"/>
          <w:szCs w:val="32"/>
          <w:lang w:eastAsia="zh-CN"/>
        </w:rPr>
        <w:t>级补助收入合计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193031万元</w:t>
      </w:r>
      <w:r>
        <w:rPr>
          <w:rFonts w:eastAsia="仿宋_GB2312"/>
          <w:color w:val="000000"/>
          <w:sz w:val="32"/>
          <w:szCs w:val="32"/>
        </w:rPr>
        <w:t>，比上年</w:t>
      </w:r>
      <w:r>
        <w:rPr>
          <w:rFonts w:hint="eastAsia" w:eastAsia="仿宋_GB2312"/>
          <w:color w:val="000000"/>
          <w:sz w:val="32"/>
          <w:szCs w:val="32"/>
          <w:lang w:eastAsia="zh-CN"/>
        </w:rPr>
        <w:t>增加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201万元</w:t>
      </w:r>
      <w:r>
        <w:rPr>
          <w:rFonts w:eastAsia="仿宋_GB2312"/>
          <w:color w:val="000000"/>
          <w:sz w:val="32"/>
          <w:szCs w:val="32"/>
        </w:rPr>
        <w:t>，</w:t>
      </w:r>
      <w:r>
        <w:rPr>
          <w:rFonts w:hint="eastAsia" w:eastAsia="仿宋_GB2312"/>
          <w:color w:val="000000"/>
          <w:sz w:val="32"/>
          <w:szCs w:val="32"/>
          <w:lang w:eastAsia="zh-CN"/>
        </w:rPr>
        <w:t>增加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0.1%</w:t>
      </w:r>
      <w:r>
        <w:rPr>
          <w:rFonts w:eastAsia="仿宋_GB2312"/>
          <w:color w:val="000000"/>
          <w:sz w:val="32"/>
          <w:szCs w:val="32"/>
        </w:rPr>
        <w:t>。其中：</w:t>
      </w:r>
    </w:p>
    <w:p w14:paraId="3FE7B50C">
      <w:pPr>
        <w:spacing w:line="600" w:lineRule="exact"/>
        <w:ind w:firstLine="643" w:firstLineChars="200"/>
        <w:rPr>
          <w:rFonts w:eastAsia="楷体_GB2312"/>
          <w:b/>
          <w:color w:val="000000"/>
          <w:sz w:val="32"/>
          <w:szCs w:val="32"/>
        </w:rPr>
      </w:pPr>
      <w:r>
        <w:rPr>
          <w:rFonts w:eastAsia="楷体_GB2312"/>
          <w:b/>
          <w:color w:val="000000"/>
          <w:sz w:val="32"/>
          <w:szCs w:val="32"/>
        </w:rPr>
        <w:t>（一）税收返还</w:t>
      </w:r>
    </w:p>
    <w:p w14:paraId="53047E26">
      <w:pPr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税收返还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ab/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4187万元</w:t>
      </w:r>
      <w:r>
        <w:rPr>
          <w:rFonts w:eastAsia="仿宋_GB2312"/>
          <w:color w:val="000000"/>
          <w:sz w:val="32"/>
          <w:szCs w:val="32"/>
        </w:rPr>
        <w:t>，</w:t>
      </w:r>
      <w:r>
        <w:rPr>
          <w:rFonts w:hint="eastAsia" w:eastAsia="仿宋_GB2312"/>
          <w:color w:val="000000"/>
          <w:sz w:val="32"/>
          <w:szCs w:val="32"/>
          <w:lang w:eastAsia="zh-CN"/>
        </w:rPr>
        <w:t>下降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12万元</w:t>
      </w:r>
      <w:r>
        <w:rPr>
          <w:rFonts w:eastAsia="仿宋_GB2312"/>
          <w:color w:val="000000"/>
          <w:sz w:val="32"/>
          <w:szCs w:val="32"/>
        </w:rPr>
        <w:t>。其中：</w:t>
      </w:r>
    </w:p>
    <w:p w14:paraId="61A426D4">
      <w:pPr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增值税税收返还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1227万元</w:t>
      </w:r>
      <w:r>
        <w:rPr>
          <w:rFonts w:eastAsia="仿宋_GB2312"/>
          <w:color w:val="000000"/>
          <w:sz w:val="32"/>
          <w:szCs w:val="32"/>
        </w:rPr>
        <w:t>;</w:t>
      </w:r>
    </w:p>
    <w:p w14:paraId="36FEE34C">
      <w:pPr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消费税税收返还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19万元</w:t>
      </w:r>
      <w:r>
        <w:rPr>
          <w:rFonts w:eastAsia="仿宋_GB2312"/>
          <w:color w:val="000000"/>
          <w:sz w:val="32"/>
          <w:szCs w:val="32"/>
        </w:rPr>
        <w:t>;</w:t>
      </w:r>
    </w:p>
    <w:p w14:paraId="62B7FE5F">
      <w:pPr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所得税基数返还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536万元</w:t>
      </w:r>
      <w:r>
        <w:rPr>
          <w:rFonts w:eastAsia="仿宋_GB2312"/>
          <w:color w:val="000000"/>
          <w:sz w:val="32"/>
          <w:szCs w:val="32"/>
        </w:rPr>
        <w:t>;</w:t>
      </w:r>
    </w:p>
    <w:p w14:paraId="3D003CB2">
      <w:pPr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成品油税费改革税收返还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1328万元</w:t>
      </w:r>
      <w:r>
        <w:rPr>
          <w:rFonts w:eastAsia="仿宋_GB2312"/>
          <w:color w:val="000000"/>
          <w:sz w:val="32"/>
          <w:szCs w:val="32"/>
        </w:rPr>
        <w:t>;</w:t>
      </w:r>
    </w:p>
    <w:p w14:paraId="6CF591DD">
      <w:pPr>
        <w:spacing w:line="600" w:lineRule="exact"/>
        <w:ind w:firstLine="640" w:firstLineChars="200"/>
        <w:rPr>
          <w:rFonts w:hint="default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</w:rPr>
        <w:t>增值税“五五分享”税收返还收入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342万元；</w:t>
      </w:r>
    </w:p>
    <w:p w14:paraId="4980AE2F">
      <w:pPr>
        <w:spacing w:line="600" w:lineRule="exact"/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其他税收返还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735万元</w:t>
      </w:r>
      <w:r>
        <w:rPr>
          <w:rFonts w:eastAsia="仿宋_GB2312"/>
          <w:color w:val="000000"/>
          <w:sz w:val="32"/>
          <w:szCs w:val="32"/>
        </w:rPr>
        <w:t>;</w:t>
      </w:r>
    </w:p>
    <w:p w14:paraId="105B160C">
      <w:pPr>
        <w:spacing w:line="600" w:lineRule="exact"/>
        <w:ind w:firstLine="643" w:firstLineChars="200"/>
        <w:rPr>
          <w:rFonts w:eastAsia="楷体_GB2312"/>
          <w:b/>
          <w:color w:val="000000"/>
          <w:sz w:val="32"/>
          <w:szCs w:val="32"/>
        </w:rPr>
      </w:pPr>
      <w:r>
        <w:rPr>
          <w:rFonts w:eastAsia="楷体_GB2312"/>
          <w:b/>
          <w:color w:val="000000"/>
          <w:sz w:val="32"/>
          <w:szCs w:val="32"/>
        </w:rPr>
        <w:t>（二）一般性转移支付</w:t>
      </w:r>
    </w:p>
    <w:p w14:paraId="7688D0AD">
      <w:pPr>
        <w:spacing w:line="600" w:lineRule="exact"/>
        <w:ind w:firstLine="616" w:firstLineChars="200"/>
        <w:rPr>
          <w:rFonts w:hint="eastAsia" w:eastAsia="仿宋_GB2312"/>
          <w:color w:val="auto"/>
          <w:spacing w:val="-6"/>
          <w:sz w:val="32"/>
          <w:szCs w:val="32"/>
          <w:highlight w:val="yellow"/>
          <w:lang w:eastAsia="zh-CN"/>
        </w:rPr>
      </w:pPr>
      <w:r>
        <w:rPr>
          <w:rFonts w:eastAsia="仿宋_GB2312"/>
          <w:color w:val="000000"/>
          <w:spacing w:val="-6"/>
          <w:sz w:val="32"/>
          <w:szCs w:val="32"/>
          <w:highlight w:val="none"/>
        </w:rPr>
        <w:t>一般性转移支付</w:t>
      </w:r>
      <w:r>
        <w:rPr>
          <w:rFonts w:hint="eastAsia" w:eastAsia="仿宋_GB2312"/>
          <w:color w:val="000000"/>
          <w:spacing w:val="-6"/>
          <w:sz w:val="32"/>
          <w:szCs w:val="32"/>
          <w:highlight w:val="none"/>
          <w:lang w:val="en-US" w:eastAsia="zh-CN"/>
        </w:rPr>
        <w:t>164792万元</w:t>
      </w:r>
      <w:r>
        <w:rPr>
          <w:rFonts w:eastAsia="仿宋_GB2312"/>
          <w:color w:val="000000"/>
          <w:spacing w:val="-6"/>
          <w:sz w:val="32"/>
          <w:szCs w:val="32"/>
          <w:highlight w:val="none"/>
        </w:rPr>
        <w:t>，比上年</w:t>
      </w:r>
      <w:r>
        <w:rPr>
          <w:rFonts w:hint="eastAsia" w:eastAsia="仿宋_GB2312"/>
          <w:color w:val="000000"/>
          <w:spacing w:val="-6"/>
          <w:sz w:val="32"/>
          <w:szCs w:val="32"/>
          <w:highlight w:val="none"/>
          <w:lang w:eastAsia="zh-CN"/>
        </w:rPr>
        <w:t>增加</w:t>
      </w:r>
      <w:r>
        <w:rPr>
          <w:rFonts w:hint="eastAsia" w:eastAsia="仿宋_GB2312"/>
          <w:color w:val="000000"/>
          <w:spacing w:val="-6"/>
          <w:sz w:val="32"/>
          <w:szCs w:val="32"/>
          <w:highlight w:val="none"/>
          <w:lang w:val="en-US" w:eastAsia="zh-CN"/>
        </w:rPr>
        <w:t>9526万元</w:t>
      </w:r>
      <w:r>
        <w:rPr>
          <w:rFonts w:eastAsia="仿宋_GB2312"/>
          <w:color w:val="000000"/>
          <w:spacing w:val="-6"/>
          <w:sz w:val="32"/>
          <w:szCs w:val="32"/>
          <w:highlight w:val="none"/>
        </w:rPr>
        <w:t>，</w:t>
      </w:r>
      <w:r>
        <w:rPr>
          <w:rFonts w:hint="eastAsia" w:eastAsia="仿宋_GB2312"/>
          <w:color w:val="000000"/>
          <w:spacing w:val="-6"/>
          <w:sz w:val="32"/>
          <w:szCs w:val="32"/>
          <w:highlight w:val="none"/>
          <w:lang w:eastAsia="zh-CN"/>
        </w:rPr>
        <w:t>增长</w:t>
      </w:r>
      <w:r>
        <w:rPr>
          <w:rFonts w:hint="eastAsia" w:eastAsia="仿宋_GB2312"/>
          <w:color w:val="000000"/>
          <w:spacing w:val="-6"/>
          <w:sz w:val="32"/>
          <w:szCs w:val="32"/>
          <w:highlight w:val="none"/>
          <w:lang w:val="en-US" w:eastAsia="zh-CN"/>
        </w:rPr>
        <w:t>6.1%</w:t>
      </w:r>
      <w:r>
        <w:rPr>
          <w:rFonts w:eastAsia="仿宋_GB2312"/>
          <w:color w:val="000000"/>
          <w:spacing w:val="-6"/>
          <w:sz w:val="32"/>
          <w:szCs w:val="32"/>
          <w:highlight w:val="none"/>
        </w:rPr>
        <w:t>，</w:t>
      </w:r>
      <w:r>
        <w:rPr>
          <w:rFonts w:hint="eastAsia" w:eastAsia="仿宋_GB2312"/>
          <w:color w:val="auto"/>
          <w:spacing w:val="-6"/>
          <w:sz w:val="32"/>
          <w:szCs w:val="32"/>
          <w:highlight w:val="none"/>
          <w:lang w:eastAsia="zh-CN"/>
        </w:rPr>
        <w:t>主要是2025年增加社会保障与就业共同财政事权转移支付收入、医疗卫生共同财政事权转移支付收入、节能环保共同财政事权转移支付收入等。</w:t>
      </w:r>
    </w:p>
    <w:p w14:paraId="342468FE">
      <w:pPr>
        <w:spacing w:line="600" w:lineRule="exact"/>
        <w:ind w:firstLine="640" w:firstLineChars="200"/>
        <w:rPr>
          <w:rFonts w:hint="eastAsia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eastAsia="仿宋_GB2312"/>
          <w:color w:val="auto"/>
          <w:sz w:val="32"/>
          <w:szCs w:val="32"/>
          <w:highlight w:val="none"/>
        </w:rPr>
        <w:t>1.结算补助</w:t>
      </w:r>
      <w:r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  <w:t>2552万元</w:t>
      </w:r>
      <w:r>
        <w:rPr>
          <w:rFonts w:eastAsia="仿宋_GB2312"/>
          <w:color w:val="auto"/>
          <w:sz w:val="32"/>
          <w:szCs w:val="32"/>
          <w:highlight w:val="none"/>
        </w:rPr>
        <w:t>, 比</w:t>
      </w:r>
      <w:r>
        <w:rPr>
          <w:rFonts w:hint="eastAsia" w:eastAsia="仿宋_GB2312"/>
          <w:color w:val="auto"/>
          <w:sz w:val="32"/>
          <w:szCs w:val="32"/>
          <w:highlight w:val="none"/>
          <w:lang w:eastAsia="zh-CN"/>
        </w:rPr>
        <w:t>减少</w:t>
      </w:r>
      <w:r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  <w:t>173万元</w:t>
      </w:r>
      <w:r>
        <w:rPr>
          <w:rFonts w:eastAsia="仿宋_GB2312"/>
          <w:color w:val="auto"/>
          <w:sz w:val="32"/>
          <w:szCs w:val="32"/>
          <w:highlight w:val="none"/>
        </w:rPr>
        <w:t>，</w:t>
      </w:r>
      <w:r>
        <w:rPr>
          <w:rFonts w:hint="eastAsia" w:eastAsia="仿宋_GB2312"/>
          <w:color w:val="auto"/>
          <w:sz w:val="32"/>
          <w:szCs w:val="32"/>
          <w:highlight w:val="none"/>
          <w:lang w:eastAsia="zh-CN"/>
        </w:rPr>
        <w:t>下降</w:t>
      </w:r>
      <w:r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  <w:t>6.34%</w:t>
      </w:r>
      <w:r>
        <w:rPr>
          <w:rFonts w:eastAsia="仿宋_GB2312"/>
          <w:color w:val="auto"/>
          <w:sz w:val="32"/>
          <w:szCs w:val="32"/>
          <w:highlight w:val="none"/>
        </w:rPr>
        <w:t>，</w:t>
      </w:r>
    </w:p>
    <w:p w14:paraId="4AF567C7">
      <w:pPr>
        <w:spacing w:line="600" w:lineRule="exact"/>
        <w:ind w:firstLine="616" w:firstLineChars="200"/>
        <w:rPr>
          <w:rFonts w:hint="eastAsia" w:eastAsia="仿宋_GB2312"/>
          <w:color w:val="0000FF"/>
          <w:spacing w:val="-6"/>
          <w:sz w:val="32"/>
          <w:szCs w:val="32"/>
          <w:highlight w:val="none"/>
          <w:lang w:eastAsia="zh-CN"/>
        </w:rPr>
      </w:pPr>
      <w:r>
        <w:rPr>
          <w:rFonts w:eastAsia="仿宋_GB2312"/>
          <w:color w:val="000000"/>
          <w:spacing w:val="-6"/>
          <w:sz w:val="32"/>
          <w:szCs w:val="32"/>
          <w:highlight w:val="none"/>
        </w:rPr>
        <w:t>2.均衡性转移支付</w:t>
      </w:r>
      <w:r>
        <w:rPr>
          <w:rFonts w:hint="eastAsia" w:eastAsia="仿宋_GB2312"/>
          <w:color w:val="000000"/>
          <w:spacing w:val="-6"/>
          <w:sz w:val="32"/>
          <w:szCs w:val="32"/>
          <w:highlight w:val="none"/>
          <w:lang w:val="en-US" w:eastAsia="zh-CN"/>
        </w:rPr>
        <w:t>47545万元</w:t>
      </w:r>
      <w:r>
        <w:rPr>
          <w:rFonts w:eastAsia="仿宋_GB2312"/>
          <w:color w:val="000000"/>
          <w:spacing w:val="-6"/>
          <w:sz w:val="32"/>
          <w:szCs w:val="32"/>
          <w:highlight w:val="none"/>
        </w:rPr>
        <w:t>, 比上年增加</w:t>
      </w:r>
      <w:r>
        <w:rPr>
          <w:rFonts w:hint="eastAsia" w:eastAsia="仿宋_GB2312"/>
          <w:color w:val="000000"/>
          <w:spacing w:val="-6"/>
          <w:sz w:val="32"/>
          <w:szCs w:val="32"/>
          <w:highlight w:val="none"/>
          <w:lang w:val="en-US" w:eastAsia="zh-CN"/>
        </w:rPr>
        <w:t>2301万元</w:t>
      </w:r>
      <w:r>
        <w:rPr>
          <w:rFonts w:eastAsia="仿宋_GB2312"/>
          <w:color w:val="000000"/>
          <w:spacing w:val="-6"/>
          <w:sz w:val="32"/>
          <w:szCs w:val="32"/>
          <w:highlight w:val="none"/>
        </w:rPr>
        <w:t>，增长</w:t>
      </w:r>
      <w:r>
        <w:rPr>
          <w:rFonts w:hint="eastAsia" w:eastAsia="仿宋_GB2312"/>
          <w:color w:val="000000"/>
          <w:spacing w:val="-6"/>
          <w:sz w:val="32"/>
          <w:szCs w:val="32"/>
          <w:highlight w:val="none"/>
          <w:lang w:val="en-US" w:eastAsia="zh-CN"/>
        </w:rPr>
        <w:t>2.1%</w:t>
      </w:r>
      <w:r>
        <w:rPr>
          <w:rFonts w:eastAsia="仿宋_GB2312"/>
          <w:color w:val="000000"/>
          <w:spacing w:val="-6"/>
          <w:sz w:val="32"/>
          <w:szCs w:val="32"/>
          <w:highlight w:val="none"/>
        </w:rPr>
        <w:t>，主要是</w:t>
      </w:r>
      <w:r>
        <w:rPr>
          <w:rFonts w:hint="eastAsia" w:eastAsia="仿宋_GB2312"/>
          <w:color w:val="000000"/>
          <w:spacing w:val="-6"/>
          <w:sz w:val="32"/>
          <w:szCs w:val="32"/>
          <w:highlight w:val="none"/>
          <w:lang w:val="en-US" w:eastAsia="zh-CN"/>
        </w:rPr>
        <w:t>增加</w:t>
      </w:r>
      <w:r>
        <w:rPr>
          <w:rFonts w:eastAsia="仿宋_GB2312"/>
          <w:color w:val="000000"/>
          <w:spacing w:val="-6"/>
          <w:sz w:val="32"/>
          <w:szCs w:val="32"/>
          <w:highlight w:val="none"/>
        </w:rPr>
        <w:t>均衡性转移支付</w:t>
      </w:r>
      <w:r>
        <w:rPr>
          <w:rFonts w:hint="eastAsia" w:eastAsia="仿宋_GB2312"/>
          <w:color w:val="000000"/>
          <w:spacing w:val="-6"/>
          <w:sz w:val="32"/>
          <w:szCs w:val="32"/>
          <w:highlight w:val="none"/>
          <w:lang w:eastAsia="zh-CN"/>
        </w:rPr>
        <w:t>收入</w:t>
      </w:r>
      <w:r>
        <w:rPr>
          <w:rFonts w:hint="eastAsia" w:eastAsia="仿宋_GB2312"/>
          <w:color w:val="000000"/>
          <w:spacing w:val="-6"/>
          <w:sz w:val="32"/>
          <w:szCs w:val="32"/>
          <w:highlight w:val="none"/>
          <w:lang w:val="en-US" w:eastAsia="zh-CN"/>
        </w:rPr>
        <w:t>2301万元。</w:t>
      </w:r>
    </w:p>
    <w:p w14:paraId="7E5F5DE7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3.县级基本财力保障机制奖补资金收入14740万元，</w:t>
      </w:r>
      <w:r>
        <w:rPr>
          <w:rFonts w:eastAsia="仿宋_GB2312"/>
          <w:color w:val="000000"/>
          <w:sz w:val="32"/>
          <w:szCs w:val="32"/>
          <w:highlight w:val="none"/>
        </w:rPr>
        <w:t xml:space="preserve"> 比上年</w:t>
      </w:r>
      <w:r>
        <w:rPr>
          <w:rFonts w:hint="eastAsia" w:eastAsia="仿宋_GB2312"/>
          <w:color w:val="000000"/>
          <w:sz w:val="32"/>
          <w:szCs w:val="32"/>
          <w:highlight w:val="none"/>
          <w:lang w:eastAsia="zh-CN"/>
        </w:rPr>
        <w:t>增加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521万元，增长3.53%，</w:t>
      </w:r>
      <w:r>
        <w:rPr>
          <w:rFonts w:eastAsia="仿宋_GB2312"/>
          <w:color w:val="000000"/>
          <w:spacing w:val="-6"/>
          <w:sz w:val="32"/>
          <w:szCs w:val="32"/>
          <w:highlight w:val="none"/>
        </w:rPr>
        <w:t>主要是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基本财力保障机制奖补资金521万元。</w:t>
      </w:r>
    </w:p>
    <w:p w14:paraId="4BDF718D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4.体制补助收入205万元，与上年持平。</w:t>
      </w:r>
    </w:p>
    <w:p w14:paraId="46F6496A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5.企业事业单位划转补助收入90万元，与上年持平。</w:t>
      </w:r>
    </w:p>
    <w:p w14:paraId="7D7B3B7C">
      <w:pPr>
        <w:spacing w:line="600" w:lineRule="exact"/>
        <w:ind w:firstLine="640" w:firstLineChars="200"/>
        <w:rPr>
          <w:rFonts w:hint="default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6.产粮(油)大县奖励资金收入656万元，</w:t>
      </w:r>
      <w:r>
        <w:rPr>
          <w:rFonts w:eastAsia="仿宋_GB2312"/>
          <w:color w:val="000000"/>
          <w:sz w:val="32"/>
          <w:szCs w:val="32"/>
          <w:highlight w:val="none"/>
        </w:rPr>
        <w:t>比上年增加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67万元，增长10.21%。</w:t>
      </w:r>
    </w:p>
    <w:p w14:paraId="5A5FB738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7.重点生态功能区转移支付收入10980万元，</w:t>
      </w:r>
      <w:r>
        <w:rPr>
          <w:rFonts w:eastAsia="仿宋_GB2312"/>
          <w:color w:val="000000"/>
          <w:sz w:val="32"/>
          <w:szCs w:val="32"/>
          <w:highlight w:val="none"/>
        </w:rPr>
        <w:t>比上年增加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163万元，增长10.17%。</w:t>
      </w:r>
    </w:p>
    <w:p w14:paraId="48F2C61C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8.固定数额补助收入8940万元，与上年持平。</w:t>
      </w:r>
    </w:p>
    <w:p w14:paraId="6BC43B3F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9.革命老区转移支付收入2282万元，</w:t>
      </w:r>
      <w:r>
        <w:rPr>
          <w:rFonts w:eastAsia="仿宋_GB2312"/>
          <w:color w:val="000000"/>
          <w:sz w:val="32"/>
          <w:szCs w:val="32"/>
          <w:highlight w:val="none"/>
        </w:rPr>
        <w:t>比上年增加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163万元，增长7.6%。</w:t>
      </w:r>
    </w:p>
    <w:p w14:paraId="2DF701DE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10.巩固脱贫攻坚成果衔接乡村振兴转移支付收入7571万元，比上年增加807万元，增长11.96%。</w:t>
      </w:r>
    </w:p>
    <w:p w14:paraId="5E77B411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11.公共安全共同财政事权转移支付收入964万元，比上年下降44万元，下降4.36%。</w:t>
      </w:r>
    </w:p>
    <w:p w14:paraId="68C6C3BD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12.教育共同财政事权转移支付收入12963万元，比减少1731万元，下降11.81%，主要是减少改善普通高中办学条件补助资金758万元、收回农村义务教育阶段学校教师特设岗位计划补助资金1247万元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。</w:t>
      </w:r>
    </w:p>
    <w:p w14:paraId="2807CDAF">
      <w:pPr>
        <w:spacing w:line="600" w:lineRule="exact"/>
        <w:ind w:firstLine="640" w:firstLineChars="200"/>
        <w:rPr>
          <w:rFonts w:hint="default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13.科学技术共同财政事权转移支付收入70万元，比上年减少70万元，下降50%。</w:t>
      </w:r>
    </w:p>
    <w:p w14:paraId="6FC75169">
      <w:pPr>
        <w:spacing w:line="600" w:lineRule="exact"/>
        <w:ind w:firstLine="640" w:firstLineChars="200"/>
        <w:rPr>
          <w:rFonts w:hint="default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14.文化旅游体育与传媒共同财政事权转移支付收入357万元，比上年减少119万元，下降25%.</w:t>
      </w:r>
    </w:p>
    <w:p w14:paraId="7EC0548C">
      <w:pPr>
        <w:spacing w:line="600" w:lineRule="exact"/>
        <w:ind w:firstLine="640" w:firstLineChars="200"/>
        <w:rPr>
          <w:rFonts w:hint="default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15.社会保障和就业共同财政事权转移支付收入22822万元，比上年增加3588万元，增长17.25%，主要是增加城乡居民基本养老保险补助资金3311万元</w:t>
      </w:r>
    </w:p>
    <w:p w14:paraId="4282D522">
      <w:pPr>
        <w:spacing w:line="600" w:lineRule="exact"/>
        <w:ind w:firstLine="640" w:firstLineChars="200"/>
        <w:rPr>
          <w:rFonts w:hint="default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16.医疗卫生共同财政事权转移支付收入8850万元，比上年增加3544万元，增长66.79%，主要是增加育儿补贴补助资金3059万元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。</w:t>
      </w:r>
    </w:p>
    <w:p w14:paraId="62DF2479">
      <w:pPr>
        <w:spacing w:line="600" w:lineRule="exact"/>
        <w:ind w:firstLine="640" w:firstLineChars="200"/>
        <w:rPr>
          <w:rFonts w:hint="default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17.节能环保共同财政事权转移支付收入3059万元，</w:t>
      </w:r>
      <w:r>
        <w:rPr>
          <w:rFonts w:eastAsia="仿宋_GB2312"/>
          <w:color w:val="000000"/>
          <w:sz w:val="32"/>
          <w:szCs w:val="32"/>
          <w:highlight w:val="none"/>
        </w:rPr>
        <w:t>比上年</w:t>
      </w:r>
      <w:r>
        <w:rPr>
          <w:rFonts w:hint="eastAsia" w:eastAsia="仿宋_GB2312"/>
          <w:color w:val="000000"/>
          <w:sz w:val="32"/>
          <w:szCs w:val="32"/>
          <w:highlight w:val="none"/>
          <w:lang w:eastAsia="zh-CN"/>
        </w:rPr>
        <w:t>增加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2355万元，增长334.5%，主要是增加林业草原生态保护恢复资金1919万元、环保专项资金400万元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。</w:t>
      </w:r>
    </w:p>
    <w:p w14:paraId="2AC6CB4C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18.农林水共同财政事权转移支付收入15217万元，比上年增加852万元，增长5.93%。</w:t>
      </w:r>
    </w:p>
    <w:p w14:paraId="09466F73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19.交通运输共同财政事权转移支付收入893万元，比上年减少4597万元，下降83.73%，主要是减少车辆购置税收入补助地方资金4575万元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。</w:t>
      </w:r>
    </w:p>
    <w:p w14:paraId="26EC9A8C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20.住房保障共同财政事权转移支付收入855万元，比上年增加351万元，增长69.64%。</w:t>
      </w:r>
    </w:p>
    <w:p w14:paraId="3E6EF99C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21.粮油物资储备共同财政事权转移支付收入158万元，比上年减少33万元，下降17.27%。</w:t>
      </w:r>
    </w:p>
    <w:p w14:paraId="43FB6163">
      <w:pPr>
        <w:spacing w:line="60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22.灾害防治及应急管理共同财政事权转移支付收入-21万元，比上年减少220万元，下降110.5%，主要是减少自然灾害救灾资金144万元、收回安全生产预防和应急救援能力建设补助资金38万元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。</w:t>
      </w:r>
      <w:bookmarkStart w:id="0" w:name="_GoBack"/>
      <w:bookmarkEnd w:id="0"/>
    </w:p>
    <w:p w14:paraId="6DEAEE32">
      <w:pPr>
        <w:spacing w:line="600" w:lineRule="exact"/>
        <w:ind w:firstLine="640" w:firstLineChars="200"/>
        <w:rPr>
          <w:rFonts w:hint="default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23.其他一般性转移支付收入2426万元，比上年增加1160万元，增长</w:t>
      </w:r>
      <w:r>
        <w:rPr>
          <w:rFonts w:hint="eastAsia" w:eastAsia="仿宋_GB2312"/>
          <w:color w:val="auto"/>
          <w:sz w:val="32"/>
          <w:szCs w:val="32"/>
          <w:highlight w:val="none"/>
          <w:lang w:val="en-US" w:eastAsia="zh-CN"/>
        </w:rPr>
        <w:t>91.63%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，主要是增加农村客运补贴和城市交通发展奖励资金1158万元。</w:t>
      </w:r>
    </w:p>
    <w:p w14:paraId="22CD3727">
      <w:pPr>
        <w:spacing w:line="580" w:lineRule="exact"/>
        <w:ind w:firstLine="643" w:firstLineChars="200"/>
        <w:rPr>
          <w:rFonts w:eastAsia="楷体_GB2312"/>
          <w:b/>
          <w:color w:val="000000"/>
          <w:sz w:val="32"/>
          <w:szCs w:val="32"/>
        </w:rPr>
      </w:pPr>
      <w:r>
        <w:rPr>
          <w:rFonts w:eastAsia="楷体_GB2312"/>
          <w:b/>
          <w:color w:val="000000"/>
          <w:sz w:val="32"/>
          <w:szCs w:val="32"/>
        </w:rPr>
        <w:t>（三）专项转移支付</w:t>
      </w:r>
    </w:p>
    <w:p w14:paraId="4E8ED39F">
      <w:pPr>
        <w:spacing w:line="58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eastAsia="仿宋_GB2312"/>
          <w:color w:val="000000"/>
          <w:sz w:val="32"/>
          <w:szCs w:val="32"/>
          <w:highlight w:val="none"/>
        </w:rPr>
        <w:t>专项转移支付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24253万元</w:t>
      </w:r>
      <w:r>
        <w:rPr>
          <w:rFonts w:eastAsia="仿宋_GB2312"/>
          <w:color w:val="000000"/>
          <w:sz w:val="32"/>
          <w:szCs w:val="32"/>
          <w:highlight w:val="none"/>
        </w:rPr>
        <w:t>，比上年</w:t>
      </w:r>
      <w:r>
        <w:rPr>
          <w:rFonts w:hint="eastAsia" w:eastAsia="仿宋_GB2312"/>
          <w:color w:val="000000"/>
          <w:sz w:val="32"/>
          <w:szCs w:val="32"/>
          <w:highlight w:val="none"/>
          <w:lang w:eastAsia="zh-CN"/>
        </w:rPr>
        <w:t>减少9097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万元</w:t>
      </w:r>
      <w:r>
        <w:rPr>
          <w:rFonts w:eastAsia="仿宋_GB2312"/>
          <w:color w:val="000000"/>
          <w:sz w:val="32"/>
          <w:szCs w:val="32"/>
          <w:highlight w:val="none"/>
        </w:rPr>
        <w:t>，</w:t>
      </w:r>
      <w:r>
        <w:rPr>
          <w:rFonts w:hint="eastAsia" w:eastAsia="仿宋_GB2312"/>
          <w:color w:val="000000"/>
          <w:sz w:val="32"/>
          <w:szCs w:val="32"/>
          <w:highlight w:val="none"/>
          <w:lang w:eastAsia="zh-CN"/>
        </w:rPr>
        <w:t>下降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27.28%</w:t>
      </w:r>
      <w:r>
        <w:rPr>
          <w:rFonts w:eastAsia="仿宋_GB2312"/>
          <w:color w:val="000000"/>
          <w:sz w:val="32"/>
          <w:szCs w:val="32"/>
          <w:highlight w:val="none"/>
        </w:rPr>
        <w:t>，</w:t>
      </w:r>
      <w:r>
        <w:rPr>
          <w:rFonts w:hint="eastAsia" w:eastAsia="仿宋_GB2312"/>
          <w:color w:val="000000"/>
          <w:sz w:val="32"/>
          <w:szCs w:val="32"/>
          <w:highlight w:val="none"/>
          <w:lang w:eastAsia="zh-CN"/>
        </w:rPr>
        <w:t>其中：</w:t>
      </w:r>
    </w:p>
    <w:p w14:paraId="7735C76E"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eastAsia="仿宋_GB2312"/>
          <w:color w:val="000000"/>
          <w:sz w:val="32"/>
          <w:szCs w:val="32"/>
          <w:highlight w:val="none"/>
        </w:rPr>
        <w:t>一般公共服务支出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218万元</w:t>
      </w:r>
      <w:r>
        <w:rPr>
          <w:rFonts w:hint="eastAsia" w:eastAsia="仿宋_GB2312"/>
          <w:color w:val="000000"/>
          <w:sz w:val="32"/>
          <w:szCs w:val="32"/>
          <w:highlight w:val="none"/>
          <w:lang w:eastAsia="zh-CN"/>
        </w:rPr>
        <w:t>。国防支出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50万元，</w:t>
      </w:r>
      <w:r>
        <w:rPr>
          <w:rFonts w:eastAsia="仿宋_GB2312"/>
          <w:color w:val="000000"/>
          <w:sz w:val="32"/>
          <w:szCs w:val="32"/>
          <w:highlight w:val="none"/>
        </w:rPr>
        <w:t>教育支出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162万元</w:t>
      </w:r>
      <w:r>
        <w:rPr>
          <w:rFonts w:eastAsia="仿宋_GB2312"/>
          <w:color w:val="000000"/>
          <w:sz w:val="32"/>
          <w:szCs w:val="32"/>
          <w:highlight w:val="none"/>
        </w:rPr>
        <w:t xml:space="preserve">, 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公共安全68万元，科学技术186万元，文化旅游体育与传媒284万元，社会保障和就业481万元，卫生健康198万元，节能环保1125万元，城乡社区12万元，农林水18284万元,交通运输2289万元，资源勘探工业信息等539万元，商业服务业等132万元，金融107万元，</w:t>
      </w:r>
      <w:r>
        <w:rPr>
          <w:rFonts w:hint="default" w:eastAsia="仿宋_GB2312"/>
          <w:color w:val="000000"/>
          <w:sz w:val="32"/>
          <w:szCs w:val="32"/>
          <w:highlight w:val="none"/>
          <w:lang w:val="en-US" w:eastAsia="zh-CN"/>
        </w:rPr>
        <w:t>然资源海洋气象等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15万元，</w:t>
      </w:r>
      <w:r>
        <w:rPr>
          <w:rFonts w:hint="default" w:eastAsia="仿宋_GB2312"/>
          <w:color w:val="000000"/>
          <w:sz w:val="32"/>
          <w:szCs w:val="32"/>
          <w:highlight w:val="none"/>
          <w:lang w:val="en-US" w:eastAsia="zh-CN"/>
        </w:rPr>
        <w:t>灾害防治及应急管理</w:t>
      </w:r>
      <w:r>
        <w:rPr>
          <w:rFonts w:hint="eastAsia" w:eastAsia="仿宋_GB2312"/>
          <w:color w:val="000000"/>
          <w:sz w:val="32"/>
          <w:szCs w:val="32"/>
          <w:highlight w:val="none"/>
          <w:lang w:val="en-US" w:eastAsia="zh-CN"/>
        </w:rPr>
        <w:t>44万元，其他收入59万元。</w:t>
      </w:r>
    </w:p>
    <w:p w14:paraId="6FC49360">
      <w:pPr>
        <w:numPr>
          <w:ilvl w:val="0"/>
          <w:numId w:val="0"/>
        </w:numPr>
        <w:spacing w:line="580" w:lineRule="exact"/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二、举借政府债务情况</w:t>
      </w:r>
    </w:p>
    <w:p w14:paraId="12B139A1">
      <w:pPr>
        <w:spacing w:line="580" w:lineRule="exact"/>
        <w:ind w:firstLine="643" w:firstLineChars="200"/>
        <w:rPr>
          <w:rFonts w:eastAsia="楷体_GB2312"/>
          <w:b/>
          <w:color w:val="000000"/>
          <w:sz w:val="32"/>
          <w:szCs w:val="32"/>
        </w:rPr>
      </w:pPr>
      <w:r>
        <w:rPr>
          <w:rFonts w:eastAsia="楷体_GB2312"/>
          <w:b/>
          <w:color w:val="000000"/>
          <w:sz w:val="32"/>
          <w:szCs w:val="32"/>
        </w:rPr>
        <w:t>（一）地方政府债务限额余额情况</w:t>
      </w:r>
    </w:p>
    <w:p w14:paraId="5F9ED824">
      <w:pPr>
        <w:spacing w:line="58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2025</w:t>
      </w:r>
      <w:r>
        <w:rPr>
          <w:rFonts w:eastAsia="仿宋_GB2312"/>
          <w:sz w:val="32"/>
          <w:szCs w:val="32"/>
        </w:rPr>
        <w:t>年，政府债务总限额</w:t>
      </w:r>
      <w:r>
        <w:rPr>
          <w:rFonts w:hint="eastAsia" w:eastAsia="仿宋_GB2312"/>
          <w:sz w:val="32"/>
          <w:szCs w:val="32"/>
          <w:lang w:val="en-US" w:eastAsia="zh-CN"/>
        </w:rPr>
        <w:t>665401万元</w:t>
      </w:r>
      <w:r>
        <w:rPr>
          <w:rFonts w:eastAsia="仿宋_GB2312"/>
          <w:sz w:val="32"/>
          <w:szCs w:val="32"/>
        </w:rPr>
        <w:t>，其中一般债务限额</w:t>
      </w:r>
      <w:r>
        <w:rPr>
          <w:rFonts w:hint="eastAsia" w:eastAsia="仿宋_GB2312"/>
          <w:sz w:val="32"/>
          <w:szCs w:val="32"/>
          <w:lang w:val="en-US" w:eastAsia="zh-CN"/>
        </w:rPr>
        <w:t>196634万元</w:t>
      </w:r>
      <w:r>
        <w:rPr>
          <w:rFonts w:eastAsia="仿宋_GB2312"/>
          <w:sz w:val="32"/>
          <w:szCs w:val="32"/>
        </w:rPr>
        <w:t>，专项债务限额</w:t>
      </w:r>
      <w:r>
        <w:rPr>
          <w:rFonts w:hint="eastAsia" w:eastAsia="仿宋_GB2312"/>
          <w:sz w:val="32"/>
          <w:szCs w:val="32"/>
          <w:lang w:val="en-US" w:eastAsia="zh-CN"/>
        </w:rPr>
        <w:t>468767万元</w:t>
      </w:r>
      <w:r>
        <w:rPr>
          <w:rFonts w:eastAsia="仿宋_GB2312"/>
          <w:sz w:val="32"/>
          <w:szCs w:val="32"/>
        </w:rPr>
        <w:t>。截止</w:t>
      </w:r>
      <w:r>
        <w:rPr>
          <w:rFonts w:hint="eastAsia" w:eastAsia="仿宋_GB2312"/>
          <w:sz w:val="32"/>
          <w:szCs w:val="32"/>
          <w:lang w:val="en-US" w:eastAsia="zh-CN"/>
        </w:rPr>
        <w:t>2025</w:t>
      </w:r>
      <w:r>
        <w:rPr>
          <w:rFonts w:eastAsia="仿宋_GB2312"/>
          <w:sz w:val="32"/>
          <w:szCs w:val="32"/>
        </w:rPr>
        <w:t>年底，地方政府债务余额</w:t>
      </w:r>
      <w:r>
        <w:rPr>
          <w:rFonts w:hint="eastAsia" w:eastAsia="仿宋_GB2312"/>
          <w:sz w:val="32"/>
          <w:szCs w:val="32"/>
          <w:lang w:val="en-US" w:eastAsia="zh-CN"/>
        </w:rPr>
        <w:t>662613万元</w:t>
      </w:r>
      <w:r>
        <w:rPr>
          <w:rFonts w:eastAsia="仿宋_GB2312"/>
          <w:sz w:val="32"/>
          <w:szCs w:val="32"/>
        </w:rPr>
        <w:t>，其中一般债务余额</w:t>
      </w:r>
      <w:r>
        <w:rPr>
          <w:rFonts w:hint="eastAsia" w:eastAsia="仿宋_GB2312"/>
          <w:sz w:val="32"/>
          <w:szCs w:val="32"/>
          <w:lang w:val="en-US" w:eastAsia="zh-CN"/>
        </w:rPr>
        <w:t>193855万元</w:t>
      </w:r>
      <w:r>
        <w:rPr>
          <w:rFonts w:eastAsia="仿宋_GB2312"/>
          <w:sz w:val="32"/>
          <w:szCs w:val="32"/>
        </w:rPr>
        <w:t>，专项债务余额</w:t>
      </w:r>
      <w:r>
        <w:rPr>
          <w:rFonts w:hint="eastAsia" w:eastAsia="仿宋_GB2312"/>
          <w:sz w:val="32"/>
          <w:szCs w:val="32"/>
          <w:lang w:val="en-US" w:eastAsia="zh-CN"/>
        </w:rPr>
        <w:t>468758万元</w:t>
      </w:r>
      <w:r>
        <w:rPr>
          <w:rFonts w:eastAsia="仿宋_GB2312"/>
          <w:sz w:val="32"/>
          <w:szCs w:val="32"/>
        </w:rPr>
        <w:t>。</w:t>
      </w:r>
    </w:p>
    <w:p w14:paraId="54B48AAA">
      <w:pPr>
        <w:spacing w:line="580" w:lineRule="exact"/>
        <w:ind w:firstLine="643" w:firstLineChars="200"/>
        <w:rPr>
          <w:rFonts w:eastAsia="楷体_GB2312"/>
          <w:b/>
          <w:color w:val="000000"/>
          <w:sz w:val="32"/>
          <w:szCs w:val="32"/>
        </w:rPr>
      </w:pPr>
      <w:r>
        <w:rPr>
          <w:rFonts w:eastAsia="楷体_GB2312"/>
          <w:b/>
          <w:color w:val="000000"/>
          <w:sz w:val="32"/>
          <w:szCs w:val="32"/>
        </w:rPr>
        <w:t>（二）地方政府债券发行情况</w:t>
      </w:r>
    </w:p>
    <w:p w14:paraId="26707532">
      <w:pPr>
        <w:spacing w:line="58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2025</w:t>
      </w:r>
      <w:r>
        <w:rPr>
          <w:rFonts w:eastAsia="仿宋_GB2312"/>
          <w:sz w:val="32"/>
          <w:szCs w:val="32"/>
        </w:rPr>
        <w:t>年，发行一般债券</w:t>
      </w:r>
      <w:r>
        <w:rPr>
          <w:rFonts w:hint="eastAsia" w:eastAsia="仿宋_GB2312"/>
          <w:sz w:val="32"/>
          <w:szCs w:val="32"/>
          <w:lang w:val="en-US" w:eastAsia="zh-CN"/>
        </w:rPr>
        <w:t>42837万元</w:t>
      </w:r>
      <w:r>
        <w:rPr>
          <w:rFonts w:eastAsia="仿宋_GB2312"/>
          <w:sz w:val="32"/>
          <w:szCs w:val="32"/>
        </w:rPr>
        <w:t>，专项债券</w:t>
      </w:r>
      <w:r>
        <w:rPr>
          <w:rFonts w:hint="eastAsia" w:eastAsia="仿宋_GB2312"/>
          <w:sz w:val="32"/>
          <w:szCs w:val="32"/>
          <w:lang w:val="en-US" w:eastAsia="zh-CN"/>
        </w:rPr>
        <w:t>76070万元。</w:t>
      </w:r>
    </w:p>
    <w:p w14:paraId="6683E860">
      <w:pPr>
        <w:spacing w:line="580" w:lineRule="exact"/>
        <w:ind w:firstLine="643" w:firstLineChars="200"/>
        <w:rPr>
          <w:rFonts w:eastAsia="楷体_GB2312"/>
          <w:b/>
          <w:color w:val="000000"/>
          <w:sz w:val="32"/>
          <w:szCs w:val="32"/>
        </w:rPr>
      </w:pPr>
      <w:r>
        <w:rPr>
          <w:rFonts w:eastAsia="楷体_GB2312"/>
          <w:b/>
          <w:color w:val="000000"/>
          <w:sz w:val="32"/>
          <w:szCs w:val="32"/>
        </w:rPr>
        <w:t>(三)地方政府债务还本付息情况</w:t>
      </w:r>
    </w:p>
    <w:p w14:paraId="7C4B588B">
      <w:pPr>
        <w:spacing w:line="58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>2025</w:t>
      </w:r>
      <w:r>
        <w:rPr>
          <w:rFonts w:eastAsia="仿宋_GB2312"/>
          <w:sz w:val="32"/>
          <w:szCs w:val="32"/>
        </w:rPr>
        <w:t>年偿还地方政府债券本金</w:t>
      </w:r>
      <w:r>
        <w:rPr>
          <w:rFonts w:hint="eastAsia" w:eastAsia="仿宋_GB2312"/>
          <w:sz w:val="32"/>
          <w:szCs w:val="32"/>
          <w:lang w:val="en-US" w:eastAsia="zh-CN"/>
        </w:rPr>
        <w:t>78849万元</w:t>
      </w:r>
      <w:r>
        <w:rPr>
          <w:rFonts w:eastAsia="仿宋_GB2312"/>
          <w:sz w:val="32"/>
          <w:szCs w:val="32"/>
        </w:rPr>
        <w:t>，其中一般债券</w:t>
      </w:r>
      <w:r>
        <w:rPr>
          <w:rFonts w:hint="eastAsia" w:eastAsia="仿宋_GB2312"/>
          <w:sz w:val="32"/>
          <w:szCs w:val="32"/>
          <w:lang w:val="en-US" w:eastAsia="zh-CN"/>
        </w:rPr>
        <w:t>37570万元</w:t>
      </w:r>
      <w:r>
        <w:rPr>
          <w:rFonts w:eastAsia="仿宋_GB2312"/>
          <w:sz w:val="32"/>
          <w:szCs w:val="32"/>
        </w:rPr>
        <w:t>，专项债务</w:t>
      </w:r>
      <w:r>
        <w:rPr>
          <w:rFonts w:hint="eastAsia" w:eastAsia="仿宋_GB2312"/>
          <w:sz w:val="32"/>
          <w:szCs w:val="32"/>
          <w:lang w:val="en-US" w:eastAsia="zh-CN"/>
        </w:rPr>
        <w:t>41279万元</w:t>
      </w:r>
      <w:r>
        <w:rPr>
          <w:rFonts w:eastAsia="仿宋_GB2312"/>
          <w:sz w:val="32"/>
          <w:szCs w:val="32"/>
        </w:rPr>
        <w:t>，支付地方政府债券利息</w:t>
      </w:r>
      <w:r>
        <w:rPr>
          <w:rFonts w:hint="eastAsia" w:eastAsia="仿宋_GB2312"/>
          <w:sz w:val="32"/>
          <w:szCs w:val="32"/>
          <w:lang w:val="en-US" w:eastAsia="zh-CN"/>
        </w:rPr>
        <w:t>17253万元</w:t>
      </w:r>
      <w:r>
        <w:rPr>
          <w:rFonts w:eastAsia="仿宋_GB2312"/>
          <w:sz w:val="32"/>
          <w:szCs w:val="32"/>
        </w:rPr>
        <w:t>，其中一般债券利息</w:t>
      </w:r>
      <w:r>
        <w:rPr>
          <w:rFonts w:hint="eastAsia" w:eastAsia="仿宋_GB2312"/>
          <w:sz w:val="32"/>
          <w:szCs w:val="32"/>
          <w:lang w:val="en-US" w:eastAsia="zh-CN"/>
        </w:rPr>
        <w:t>5467万元</w:t>
      </w:r>
      <w:r>
        <w:rPr>
          <w:rFonts w:eastAsia="仿宋_GB2312"/>
          <w:sz w:val="32"/>
          <w:szCs w:val="32"/>
        </w:rPr>
        <w:t>，专项债券利</w:t>
      </w:r>
    </w:p>
    <w:p w14:paraId="25533DAD">
      <w:pPr>
        <w:spacing w:line="58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息</w:t>
      </w:r>
      <w:r>
        <w:rPr>
          <w:rFonts w:hint="eastAsia" w:eastAsia="仿宋_GB2312"/>
          <w:sz w:val="32"/>
          <w:szCs w:val="32"/>
          <w:lang w:val="en-US" w:eastAsia="zh-CN"/>
        </w:rPr>
        <w:t>11786万元</w:t>
      </w:r>
      <w:r>
        <w:rPr>
          <w:rFonts w:eastAsia="仿宋_GB2312"/>
          <w:sz w:val="32"/>
          <w:szCs w:val="32"/>
        </w:rPr>
        <w:t>。</w:t>
      </w:r>
    </w:p>
    <w:p w14:paraId="0E629D83">
      <w:pPr>
        <w:spacing w:line="580" w:lineRule="exact"/>
        <w:ind w:firstLine="640" w:firstLineChars="200"/>
        <w:rPr>
          <w:rFonts w:hint="eastAsia" w:eastAsia="黑体"/>
          <w:color w:val="000000"/>
          <w:sz w:val="32"/>
          <w:szCs w:val="32"/>
          <w:lang w:val="en-US" w:eastAsia="zh-CN"/>
        </w:rPr>
      </w:pPr>
      <w:r>
        <w:rPr>
          <w:rFonts w:hint="eastAsia" w:eastAsia="黑体"/>
          <w:color w:val="000000"/>
          <w:sz w:val="32"/>
          <w:szCs w:val="32"/>
          <w:lang w:val="en-US" w:eastAsia="zh-CN"/>
        </w:rPr>
        <w:t>三、“三公”经费支出情况说</w:t>
      </w:r>
    </w:p>
    <w:p w14:paraId="2F05AD4B">
      <w:pPr>
        <w:spacing w:line="580" w:lineRule="exact"/>
        <w:ind w:firstLine="640" w:firstLineChars="200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蓝山县2025年三公经费决算数为1376万元，其中：因公出国（境）费13.1万元，公务接待费315万元，公务用车购置及运行（维护）费1048万元，较2025年预算数减少666万元。减少原因主要是因为我县严格遵照中央八项规定以及省、市有关管理办法的规定，按照厉行节约的要求，严格控制接待范围和接待标准；加强公务用车的管理，严禁公车私用，从车辆的油耗、维修等方面加强控制，压缩开支，有效降低三公经费的支出。</w:t>
      </w:r>
    </w:p>
    <w:p w14:paraId="54E837CD">
      <w:pP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6E9D25"/>
    <w:multiLevelType w:val="singleLevel"/>
    <w:tmpl w:val="D76E9D2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dkMTZlZDMyOTM0MjMwZjdlNzI5MjdkNmEyYzUyZjcifQ=="/>
    <w:docVar w:name="KSO_WPS_MARK_KEY" w:val="dd6830a6-f478-49a1-9dab-c54abebdc590"/>
  </w:docVars>
  <w:rsids>
    <w:rsidRoot w:val="00000000"/>
    <w:rsid w:val="01B36340"/>
    <w:rsid w:val="070E6F20"/>
    <w:rsid w:val="09467E44"/>
    <w:rsid w:val="116E295B"/>
    <w:rsid w:val="1B45708C"/>
    <w:rsid w:val="205C7FDB"/>
    <w:rsid w:val="210C6A10"/>
    <w:rsid w:val="246D6E05"/>
    <w:rsid w:val="26783688"/>
    <w:rsid w:val="3EED2183"/>
    <w:rsid w:val="412076DC"/>
    <w:rsid w:val="41C04AE5"/>
    <w:rsid w:val="4BC91737"/>
    <w:rsid w:val="4BFB6034"/>
    <w:rsid w:val="4D7E5092"/>
    <w:rsid w:val="56004314"/>
    <w:rsid w:val="5BFBA8AC"/>
    <w:rsid w:val="5C260471"/>
    <w:rsid w:val="5DFC0F8C"/>
    <w:rsid w:val="5FB5F1E1"/>
    <w:rsid w:val="600D5D39"/>
    <w:rsid w:val="63DD7A22"/>
    <w:rsid w:val="6A487A45"/>
    <w:rsid w:val="6C715E59"/>
    <w:rsid w:val="6D97E0AA"/>
    <w:rsid w:val="73D9610E"/>
    <w:rsid w:val="76C04532"/>
    <w:rsid w:val="792B48D9"/>
    <w:rsid w:val="79FF4AED"/>
    <w:rsid w:val="7DB7F623"/>
    <w:rsid w:val="7FFD97CF"/>
    <w:rsid w:val="9CFEABFE"/>
    <w:rsid w:val="9F3832BF"/>
    <w:rsid w:val="BFF71922"/>
    <w:rsid w:val="D46E9A98"/>
    <w:rsid w:val="DAFF8EFC"/>
    <w:rsid w:val="DCBFFC54"/>
    <w:rsid w:val="DFFF9669"/>
    <w:rsid w:val="FB7CD3F4"/>
    <w:rsid w:val="FB9F79DD"/>
    <w:rsid w:val="FCFFF26A"/>
    <w:rsid w:val="FFF7161D"/>
    <w:rsid w:val="FFF7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paragraph" w:styleId="3">
    <w:name w:val="heading 3"/>
    <w:basedOn w:val="1"/>
    <w:next w:val="1"/>
    <w:qFormat/>
    <w:uiPriority w:val="0"/>
    <w:pPr>
      <w:ind w:firstLine="200" w:firstLineChars="200"/>
      <w:outlineLvl w:val="2"/>
    </w:pPr>
    <w:rPr>
      <w:rFonts w:eastAsia="楷体_GB2312"/>
      <w:bCs/>
      <w:sz w:val="30"/>
      <w:szCs w:val="30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next w:val="1"/>
    <w:semiHidden/>
    <w:qFormat/>
    <w:uiPriority w:val="0"/>
    <w:rPr>
      <w:rFonts w:ascii="微软雅黑" w:hAnsi="微软雅黑" w:eastAsia="微软雅黑" w:cs="微软雅黑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3827</Words>
  <Characters>4511</Characters>
  <Lines>0</Lines>
  <Paragraphs>0</Paragraphs>
  <TotalTime>23</TotalTime>
  <ScaleCrop>false</ScaleCrop>
  <LinksUpToDate>false</LinksUpToDate>
  <CharactersWithSpaces>4524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2023-06-30T19:05:00Z</dcterms:created>
  <dc:creator>hp</dc:creator>
  <cp:lastModifiedBy>kylin</cp:lastModifiedBy>
  <dcterms:modified xsi:type="dcterms:W3CDTF">2026-10-08T16:16:52Z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DB5E4EF7BB56DD8F7451C76A9B9CACCF_43</vt:lpwstr>
  </property>
</Properties>
</file>