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8A617D">
      <w:pPr>
        <w:widowControl/>
        <w:spacing w:line="600" w:lineRule="exact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 w:val="32"/>
          <w:szCs w:val="32"/>
        </w:rPr>
        <w:t>附件</w:t>
      </w:r>
      <w:r>
        <w:rPr>
          <w:rFonts w:hint="eastAsia" w:eastAsia="仿宋_GB2312"/>
          <w:bCs/>
          <w:kern w:val="0"/>
          <w:sz w:val="32"/>
          <w:szCs w:val="32"/>
        </w:rPr>
        <w:t>2</w:t>
      </w:r>
      <w:r>
        <w:rPr>
          <w:rFonts w:eastAsia="仿宋_GB2312"/>
          <w:bCs/>
          <w:kern w:val="0"/>
          <w:sz w:val="32"/>
          <w:szCs w:val="32"/>
        </w:rPr>
        <w:t>：</w:t>
      </w:r>
    </w:p>
    <w:p w14:paraId="1668F0BA">
      <w:pPr>
        <w:widowControl/>
        <w:spacing w:line="600" w:lineRule="exact"/>
        <w:jc w:val="center"/>
        <w:rPr>
          <w:rFonts w:eastAsia="方正小标宋_GBK"/>
          <w:bCs/>
          <w:kern w:val="0"/>
          <w:sz w:val="44"/>
          <w:szCs w:val="44"/>
        </w:rPr>
      </w:pPr>
      <w:r>
        <w:rPr>
          <w:rFonts w:hint="eastAsia" w:eastAsia="方正小标宋_GBK"/>
          <w:bCs/>
          <w:kern w:val="0"/>
          <w:sz w:val="44"/>
          <w:szCs w:val="44"/>
          <w:lang w:val="en-US" w:eastAsia="zh-CN"/>
        </w:rPr>
        <w:t>2024</w:t>
      </w:r>
      <w:r>
        <w:rPr>
          <w:rFonts w:eastAsia="方正小标宋_GBK"/>
          <w:bCs/>
          <w:kern w:val="0"/>
          <w:sz w:val="44"/>
          <w:szCs w:val="44"/>
        </w:rPr>
        <w:t>年</w:t>
      </w:r>
      <w:r>
        <w:rPr>
          <w:rFonts w:hint="eastAsia" w:eastAsia="方正小标宋_GBK"/>
          <w:bCs/>
          <w:kern w:val="0"/>
          <w:sz w:val="44"/>
          <w:szCs w:val="44"/>
        </w:rPr>
        <w:t>政府决</w:t>
      </w:r>
      <w:r>
        <w:rPr>
          <w:rFonts w:eastAsia="方正小标宋_GBK"/>
          <w:bCs/>
          <w:kern w:val="0"/>
          <w:sz w:val="44"/>
          <w:szCs w:val="44"/>
        </w:rPr>
        <w:t>算</w:t>
      </w:r>
      <w:r>
        <w:rPr>
          <w:rFonts w:hint="eastAsia" w:eastAsia="方正小标宋_GBK"/>
          <w:bCs/>
          <w:kern w:val="0"/>
          <w:sz w:val="44"/>
          <w:szCs w:val="44"/>
        </w:rPr>
        <w:t>公开</w:t>
      </w:r>
    </w:p>
    <w:p w14:paraId="65AB6096">
      <w:pPr>
        <w:widowControl/>
        <w:spacing w:line="600" w:lineRule="exact"/>
        <w:jc w:val="center"/>
        <w:rPr>
          <w:rFonts w:eastAsia="楷体_GB2312"/>
          <w:bCs/>
          <w:kern w:val="0"/>
          <w:sz w:val="32"/>
          <w:szCs w:val="32"/>
        </w:rPr>
      </w:pPr>
    </w:p>
    <w:p w14:paraId="07226B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eastAsia="黑体"/>
          <w:bCs/>
          <w:kern w:val="0"/>
          <w:sz w:val="32"/>
          <w:szCs w:val="32"/>
        </w:rPr>
      </w:pPr>
      <w:r>
        <w:rPr>
          <w:rFonts w:eastAsia="黑体"/>
          <w:bCs/>
          <w:kern w:val="0"/>
          <w:sz w:val="32"/>
          <w:szCs w:val="32"/>
        </w:rPr>
        <w:t>目 录</w:t>
      </w:r>
    </w:p>
    <w:p w14:paraId="7583C2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方正小标宋_GBK"/>
          <w:bCs/>
          <w:kern w:val="0"/>
          <w:sz w:val="32"/>
          <w:szCs w:val="32"/>
        </w:rPr>
      </w:pPr>
      <w:r>
        <w:rPr>
          <w:rFonts w:eastAsia="仿宋_GB2312"/>
          <w:b/>
          <w:bCs/>
          <w:kern w:val="0"/>
          <w:sz w:val="32"/>
          <w:szCs w:val="32"/>
        </w:rPr>
        <w:t>第一部分</w:t>
      </w:r>
      <w:r>
        <w:rPr>
          <w:rFonts w:hint="eastAsia" w:eastAsia="仿宋_GB2312"/>
          <w:b/>
          <w:bCs/>
          <w:kern w:val="0"/>
          <w:sz w:val="32"/>
          <w:szCs w:val="32"/>
        </w:rPr>
        <w:t xml:space="preserve"> 预决算报告</w:t>
      </w:r>
    </w:p>
    <w:p w14:paraId="49BCDD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jc w:val="left"/>
        <w:textAlignment w:val="auto"/>
        <w:rPr>
          <w:rFonts w:hint="eastAsia" w:eastAsia="仿宋_GB2312"/>
          <w:b/>
          <w:bCs/>
          <w:kern w:val="0"/>
          <w:sz w:val="32"/>
          <w:szCs w:val="32"/>
        </w:rPr>
      </w:pPr>
      <w:r>
        <w:rPr>
          <w:rFonts w:eastAsia="仿宋_GB2312"/>
          <w:b/>
          <w:bCs/>
          <w:kern w:val="0"/>
          <w:sz w:val="32"/>
          <w:szCs w:val="32"/>
        </w:rPr>
        <w:t>第二部分</w:t>
      </w:r>
      <w:r>
        <w:rPr>
          <w:rFonts w:hint="eastAsia" w:eastAsia="仿宋_GB2312"/>
          <w:b/>
          <w:bCs/>
          <w:kern w:val="0"/>
          <w:sz w:val="32"/>
          <w:szCs w:val="32"/>
        </w:rPr>
        <w:t xml:space="preserve"> 预决算草</w:t>
      </w:r>
    </w:p>
    <w:p w14:paraId="232063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1、一般公共预算收入决算表</w:t>
      </w:r>
    </w:p>
    <w:p w14:paraId="409C17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2、一般公共预算支出决算表</w:t>
      </w:r>
    </w:p>
    <w:p w14:paraId="019E54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</w:rPr>
        <w:t>3、一般公共预算本级支出决算</w:t>
      </w:r>
      <w:r>
        <w:rPr>
          <w:rFonts w:hint="eastAsia" w:eastAsia="仿宋_GB2312"/>
          <w:sz w:val="32"/>
          <w:szCs w:val="32"/>
          <w:lang w:eastAsia="zh-CN"/>
        </w:rPr>
        <w:t>表</w:t>
      </w:r>
    </w:p>
    <w:p w14:paraId="3BFF2C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4、一般公共预算基本支出决算表</w:t>
      </w:r>
    </w:p>
    <w:p w14:paraId="285FA5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-340" w:rightChars="-162"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5、一般公共预算对下税收返还和转移支付决算分项目表</w:t>
      </w:r>
    </w:p>
    <w:p w14:paraId="76366C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16" w:firstLineChars="200"/>
        <w:jc w:val="left"/>
        <w:textAlignment w:val="auto"/>
        <w:rPr>
          <w:rFonts w:hint="eastAsia" w:eastAsia="仿宋_GB2312"/>
          <w:spacing w:val="-6"/>
          <w:sz w:val="32"/>
          <w:szCs w:val="32"/>
        </w:rPr>
      </w:pPr>
      <w:r>
        <w:rPr>
          <w:rFonts w:hint="eastAsia" w:eastAsia="仿宋_GB2312"/>
          <w:spacing w:val="-6"/>
          <w:sz w:val="32"/>
          <w:szCs w:val="32"/>
        </w:rPr>
        <w:t>6、一般公共预算对下税收返还和转移支付决算分地区表</w:t>
      </w:r>
    </w:p>
    <w:p w14:paraId="70C194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7、政府性基金收入决算表</w:t>
      </w:r>
    </w:p>
    <w:p w14:paraId="26D11A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8、政府性基金支出决算表</w:t>
      </w:r>
    </w:p>
    <w:p w14:paraId="401EE4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9、政府性基金本级支出决算表</w:t>
      </w:r>
    </w:p>
    <w:p w14:paraId="5AF07D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10、政府性基金转移支付预算分项目表</w:t>
      </w:r>
    </w:p>
    <w:p w14:paraId="521335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11、政府性基金转移支付预算分地区表</w:t>
      </w:r>
    </w:p>
    <w:p w14:paraId="65F7F9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12、国有资本经营收入决算表</w:t>
      </w:r>
    </w:p>
    <w:p w14:paraId="70D3D0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13、国有资本经营支出决算表</w:t>
      </w:r>
    </w:p>
    <w:p w14:paraId="5A5983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14、社会保险基金收入决算表</w:t>
      </w:r>
    </w:p>
    <w:p w14:paraId="2CE294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15、社会保险基金支出决算表</w:t>
      </w:r>
    </w:p>
    <w:p w14:paraId="34FBA9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16、地方政府一般债务和专项债务限额和余额情况表</w:t>
      </w:r>
    </w:p>
    <w:p w14:paraId="2F9502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jc w:val="left"/>
        <w:textAlignment w:val="auto"/>
        <w:rPr>
          <w:rFonts w:hint="eastAsia" w:eastAsia="仿宋_GB2312"/>
          <w:b/>
          <w:bCs/>
          <w:kern w:val="0"/>
          <w:sz w:val="32"/>
          <w:szCs w:val="32"/>
        </w:rPr>
      </w:pPr>
      <w:r>
        <w:rPr>
          <w:rFonts w:eastAsia="仿宋_GB2312"/>
          <w:b/>
          <w:bCs/>
          <w:kern w:val="0"/>
          <w:sz w:val="32"/>
          <w:szCs w:val="32"/>
        </w:rPr>
        <w:t>第</w:t>
      </w:r>
      <w:r>
        <w:rPr>
          <w:rFonts w:hint="eastAsia" w:eastAsia="仿宋_GB2312"/>
          <w:b/>
          <w:bCs/>
          <w:kern w:val="0"/>
          <w:sz w:val="32"/>
          <w:szCs w:val="32"/>
        </w:rPr>
        <w:t>三</w:t>
      </w:r>
      <w:r>
        <w:rPr>
          <w:rFonts w:eastAsia="仿宋_GB2312"/>
          <w:b/>
          <w:bCs/>
          <w:kern w:val="0"/>
          <w:sz w:val="32"/>
          <w:szCs w:val="32"/>
        </w:rPr>
        <w:t xml:space="preserve">部分 </w:t>
      </w:r>
      <w:r>
        <w:rPr>
          <w:rFonts w:hint="eastAsia" w:eastAsia="仿宋_GB2312"/>
          <w:b/>
          <w:bCs/>
          <w:kern w:val="0"/>
          <w:sz w:val="32"/>
          <w:szCs w:val="32"/>
        </w:rPr>
        <w:t>相关说明</w:t>
      </w:r>
    </w:p>
    <w:p w14:paraId="4F8CA0FC">
      <w:pPr>
        <w:widowControl/>
        <w:spacing w:line="600" w:lineRule="exact"/>
        <w:jc w:val="center"/>
        <w:rPr>
          <w:rFonts w:eastAsia="方正小标宋_GBK"/>
          <w:bCs/>
          <w:kern w:val="0"/>
          <w:sz w:val="36"/>
          <w:szCs w:val="36"/>
        </w:rPr>
      </w:pPr>
    </w:p>
    <w:p w14:paraId="3A92F4AC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  <w:lang w:eastAsia="zh-CN"/>
        </w:rPr>
      </w:pPr>
      <w:r>
        <w:rPr>
          <w:rFonts w:eastAsia="方正小标宋_GBK"/>
          <w:bCs/>
          <w:kern w:val="0"/>
          <w:sz w:val="36"/>
          <w:szCs w:val="36"/>
        </w:rPr>
        <w:br w:type="page"/>
      </w:r>
      <w:r>
        <w:rPr>
          <w:rFonts w:eastAsia="方正小标宋_GBK"/>
          <w:bCs/>
          <w:kern w:val="0"/>
          <w:sz w:val="36"/>
          <w:szCs w:val="36"/>
        </w:rPr>
        <w:t>第一部分</w:t>
      </w:r>
      <w:r>
        <w:rPr>
          <w:rFonts w:hint="eastAsia" w:eastAsia="方正小标宋_GBK"/>
          <w:bCs/>
          <w:kern w:val="0"/>
          <w:sz w:val="36"/>
          <w:szCs w:val="36"/>
        </w:rPr>
        <w:t xml:space="preserve"> 决算报</w:t>
      </w:r>
      <w:r>
        <w:rPr>
          <w:rFonts w:hint="eastAsia" w:eastAsia="方正小标宋_GBK"/>
          <w:bCs/>
          <w:kern w:val="0"/>
          <w:sz w:val="36"/>
          <w:szCs w:val="36"/>
          <w:lang w:eastAsia="zh-CN"/>
        </w:rPr>
        <w:t>告</w:t>
      </w:r>
    </w:p>
    <w:p w14:paraId="535D8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  <w:t>一、</w:t>
      </w:r>
      <w:r>
        <w:rPr>
          <w:rFonts w:hint="eastAsia" w:eastAsia="黑体" w:cs="Times New Roman"/>
          <w:color w:val="000000"/>
          <w:sz w:val="32"/>
          <w:szCs w:val="32"/>
          <w:highlight w:val="none"/>
          <w:lang w:eastAsia="zh-CN"/>
        </w:rPr>
        <w:t>2024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  <w:lang w:eastAsia="zh-CN"/>
        </w:rPr>
        <w:t>财政决算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  <w:t>情况</w:t>
      </w:r>
    </w:p>
    <w:p w14:paraId="00A7890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楷体" w:cs="Times New Roman"/>
          <w:b/>
          <w:color w:val="000000"/>
          <w:sz w:val="32"/>
          <w:szCs w:val="32"/>
          <w:highlight w:val="none"/>
        </w:rPr>
      </w:pPr>
      <w:r>
        <w:rPr>
          <w:rFonts w:hint="eastAsia" w:eastAsia="仿宋_GB2312" w:cs="Times New Roman"/>
          <w:color w:val="000000"/>
          <w:spacing w:val="0"/>
          <w:sz w:val="32"/>
          <w:szCs w:val="32"/>
          <w:lang w:val="en-US" w:eastAsia="zh-CN"/>
        </w:rPr>
        <w:t>2024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  <w:t>年是全面贯彻党的二十大精神的开局之年，是三年新冠疫情防控转段后经济</w:t>
      </w:r>
      <w:r>
        <w:rPr>
          <w:rFonts w:hint="eastAsia" w:eastAsia="仿宋_GB2312" w:cs="Times New Roman"/>
          <w:color w:val="000000"/>
          <w:spacing w:val="0"/>
          <w:sz w:val="32"/>
          <w:szCs w:val="32"/>
          <w:lang w:val="en-US" w:eastAsia="zh-CN"/>
        </w:rPr>
        <w:t>恢复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  <w:t>发展的一年。全县财政系统面对重大任务接踵而至、重大风险交织叠加的严峻形势，锚定奋力打造“三区一园”、推动实现“四个走在全省前列”、加快建设现代化新蓝山为目标，</w:t>
      </w:r>
      <w:r>
        <w:rPr>
          <w:rFonts w:hint="default" w:ascii="Times New Roman" w:hAnsi="Times New Roman" w:eastAsia="仿宋_GB2312" w:cs="Times New Roman"/>
          <w:bCs/>
          <w:color w:val="000000"/>
          <w:spacing w:val="0"/>
          <w:sz w:val="32"/>
          <w:szCs w:val="32"/>
          <w:highlight w:val="none"/>
          <w:lang w:val="en-US" w:eastAsia="zh-CN"/>
        </w:rPr>
        <w:t>认真落实积极的财政政策，强化预算执行管理，积极防范化解财政运行风险，集中财力保障重点支出，财政改革发展各项工作取得新的进展，全县财政运行总体平稳。</w:t>
      </w:r>
    </w:p>
    <w:p w14:paraId="759CF14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二、</w:t>
      </w:r>
      <w:r>
        <w:rPr>
          <w:rFonts w:hint="default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一般公共预算</w:t>
      </w:r>
      <w:r>
        <w:rPr>
          <w:rFonts w:hint="eastAsia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收支决算</w:t>
      </w:r>
      <w:r>
        <w:rPr>
          <w:rFonts w:hint="default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情况</w:t>
      </w:r>
    </w:p>
    <w:p w14:paraId="3A383ED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pacing w:val="0"/>
          <w:kern w:val="2"/>
          <w:sz w:val="32"/>
          <w:szCs w:val="32"/>
          <w:lang w:val="en-US" w:eastAsia="zh-CN" w:bidi="ar-SA"/>
        </w:rPr>
        <w:t>1．地方一般公共预算收入完成情况</w:t>
      </w:r>
    </w:p>
    <w:p w14:paraId="7F3001B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2024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年，全县地方一般公共预算收入完成10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7457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下降1.86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%，占预算（预算调整数，下同）的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92.9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%，其中税收收入7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1495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万元，占预算的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86.6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%，非税收入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35962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万元，占预算的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107.04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%，税收占地方一般公共预算收入的比重为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66.53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%。</w:t>
      </w:r>
    </w:p>
    <w:p w14:paraId="2E5C7F7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 w:val="0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color w:val="000000"/>
          <w:sz w:val="32"/>
          <w:szCs w:val="32"/>
          <w:highlight w:val="none"/>
        </w:rPr>
        <w:t>2</w:t>
      </w:r>
      <w:r>
        <w:rPr>
          <w:rFonts w:hint="default" w:ascii="Times New Roman" w:hAnsi="Times New Roman" w:eastAsia="仿宋_GB2312" w:cs="Times New Roman"/>
          <w:b/>
          <w:bCs w:val="0"/>
          <w:color w:val="000000"/>
          <w:sz w:val="32"/>
          <w:szCs w:val="32"/>
          <w:highlight w:val="none"/>
          <w:lang w:val="en-US" w:eastAsia="zh-CN"/>
        </w:rPr>
        <w:t>．</w:t>
      </w:r>
      <w:r>
        <w:rPr>
          <w:rFonts w:hint="default" w:ascii="Times New Roman" w:hAnsi="Times New Roman" w:eastAsia="仿宋_GB2312" w:cs="Times New Roman"/>
          <w:b/>
          <w:bCs w:val="0"/>
          <w:color w:val="000000"/>
          <w:sz w:val="32"/>
          <w:szCs w:val="32"/>
          <w:highlight w:val="none"/>
          <w:lang w:eastAsia="zh-CN"/>
        </w:rPr>
        <w:t>一般公共预算</w:t>
      </w:r>
      <w:r>
        <w:rPr>
          <w:rFonts w:hint="default" w:ascii="Times New Roman" w:hAnsi="Times New Roman" w:eastAsia="仿宋_GB2312" w:cs="Times New Roman"/>
          <w:b/>
          <w:bCs w:val="0"/>
          <w:color w:val="000000"/>
          <w:sz w:val="32"/>
          <w:szCs w:val="32"/>
          <w:highlight w:val="none"/>
        </w:rPr>
        <w:t>支出完成情况</w:t>
      </w:r>
    </w:p>
    <w:p w14:paraId="386BA0F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2024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年，全县一般公共预算支出完成345789万元，同口径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下降11.72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%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其中：一般公共服务支出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32010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万元，国防支出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556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万元，公共安全支出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11020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万元，教育支出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72074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万元，科学技术支出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18530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万元，文化旅游体育与传媒支出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4306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万元，社会保障和就业支出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58210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万元，卫生健康支出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18120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万元，节能环保支出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2314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万元，城乡社区支出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13041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万元，农林水支出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43376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万元，交通运输支出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8428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万元，资源勘探工业信息等支出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1832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万元，商业服务业等支出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1366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万元，金融支出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269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万元，自然资源海洋气象等支出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2789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万元，住房保障支出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8101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万元，粮油物资储备支出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851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万元，灾害防治及应急管理支出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2200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万元，其他支出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234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万元，债务付息支出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5627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万元。</w:t>
      </w:r>
    </w:p>
    <w:p w14:paraId="1348E55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 w:val="0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color w:val="000000"/>
          <w:sz w:val="32"/>
          <w:szCs w:val="32"/>
          <w:highlight w:val="none"/>
        </w:rPr>
        <w:t>3</w:t>
      </w:r>
      <w:r>
        <w:rPr>
          <w:rFonts w:hint="default" w:ascii="Times New Roman" w:hAnsi="Times New Roman" w:eastAsia="仿宋_GB2312" w:cs="Times New Roman"/>
          <w:b/>
          <w:bCs w:val="0"/>
          <w:color w:val="000000"/>
          <w:sz w:val="32"/>
          <w:szCs w:val="32"/>
          <w:highlight w:val="none"/>
          <w:lang w:val="en-US" w:eastAsia="zh-CN"/>
        </w:rPr>
        <w:t>．</w:t>
      </w:r>
      <w:r>
        <w:rPr>
          <w:rFonts w:hint="default" w:ascii="Times New Roman" w:hAnsi="Times New Roman" w:eastAsia="仿宋_GB2312" w:cs="Times New Roman"/>
          <w:b/>
          <w:bCs w:val="0"/>
          <w:color w:val="000000"/>
          <w:sz w:val="32"/>
          <w:szCs w:val="32"/>
          <w:highlight w:val="none"/>
          <w:lang w:eastAsia="zh-CN"/>
        </w:rPr>
        <w:t>一般公共预算</w:t>
      </w:r>
      <w:r>
        <w:rPr>
          <w:rFonts w:hint="default" w:ascii="Times New Roman" w:hAnsi="Times New Roman" w:eastAsia="仿宋_GB2312" w:cs="Times New Roman"/>
          <w:b/>
          <w:bCs w:val="0"/>
          <w:color w:val="000000"/>
          <w:sz w:val="32"/>
          <w:szCs w:val="32"/>
          <w:highlight w:val="none"/>
        </w:rPr>
        <w:t>收支平衡情况</w:t>
      </w:r>
    </w:p>
    <w:p w14:paraId="2EA4817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2024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年全县一般公共预算收支平衡情况是：地方一般公共预算收入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107457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万元，上级补助收入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192815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万元，债务转贷收入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32576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万元，调入资金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4284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万元，上年结余7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955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万元，收入总计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345087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万元。一般公共预算支出3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05254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万元，上解支出56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37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万元，地方政府一般债券还本支出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27104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万元，调出资金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2208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万元，结转下年支出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4884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万元，支出总计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345087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万元，当年收支平衡。</w:t>
      </w:r>
    </w:p>
    <w:p w14:paraId="6F360DE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三、</w:t>
      </w:r>
      <w:r>
        <w:rPr>
          <w:rFonts w:hint="default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政府性基金预算</w:t>
      </w:r>
      <w:r>
        <w:rPr>
          <w:rFonts w:hint="eastAsia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收支决算</w:t>
      </w:r>
      <w:r>
        <w:rPr>
          <w:rFonts w:hint="default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情况</w:t>
      </w:r>
    </w:p>
    <w:p w14:paraId="4E3ACD1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本级政府性基金收入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39533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万元（其中国有土地使用权出让金收入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29133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万元，城市基础设施配套费收入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2880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万元，污水处理费收入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260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万元），债务转贷收入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112400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万元，转移性收入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4905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万元，上年结余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1401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万元，调入资金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2208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万元，收入总计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160447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万元。本级政府性基金支出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133919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万元，地方政府专项债务还本支出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18000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万元，上解支出9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万元，调出资金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4284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万元，结转下年支出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4150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万元，支出总计</w:t>
      </w:r>
      <w:r>
        <w:rPr>
          <w:rFonts w:hint="eastAsia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160447</w:t>
      </w:r>
      <w:r>
        <w:rPr>
          <w:rFonts w:hint="default" w:ascii="Times New Roman" w:hAnsi="Times New Roman" w:eastAsia="仿宋_GB2312" w:cs="Times New Roman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万元，当年收支平衡。</w:t>
      </w:r>
    </w:p>
    <w:p w14:paraId="1FAEFD9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四、</w:t>
      </w:r>
      <w:r>
        <w:rPr>
          <w:rFonts w:hint="default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国有资本经营预算</w:t>
      </w:r>
      <w:r>
        <w:rPr>
          <w:rFonts w:hint="eastAsia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收支决算</w:t>
      </w:r>
      <w:r>
        <w:rPr>
          <w:rFonts w:hint="default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情况</w:t>
      </w:r>
    </w:p>
    <w:p w14:paraId="480F167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2024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年国有资本经营预算本级收入380万元，转移性收入7万元，上年结余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12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万元，收入总计3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99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万元。国有资本经营预算支出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356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万元，结转下年支出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43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万元，支出总计39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9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万元，当年收支平衡。</w:t>
      </w:r>
    </w:p>
    <w:p w14:paraId="094063B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五、</w:t>
      </w:r>
      <w:r>
        <w:rPr>
          <w:rFonts w:hint="default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社保基金预算</w:t>
      </w:r>
      <w:r>
        <w:rPr>
          <w:rFonts w:hint="eastAsia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收支决算</w:t>
      </w:r>
      <w:r>
        <w:rPr>
          <w:rFonts w:hint="default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情况</w:t>
      </w:r>
    </w:p>
    <w:p w14:paraId="371A2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2024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年社会保险基金预算包括城乡居民基本养老保险基金、机关事业单位基本养老保险基金（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企业职工基本养老保险基金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eastAsia="zh-CN"/>
        </w:rPr>
        <w:t>全国统筹，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失业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保险基金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省级统筹，城乡居民医疗保险基金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职工基本医疗保险基金市级统筹，均不在县级决算报表中反映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）。社会保险基金收入总计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51882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万元，社会保险基金支出总计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44769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万元，当年收支结余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7113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万元，年末滚存结余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36279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万元。</w:t>
      </w:r>
    </w:p>
    <w:p w14:paraId="6AB7B8E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六、</w:t>
      </w:r>
      <w:r>
        <w:rPr>
          <w:rFonts w:hint="default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地方政府债务情况</w:t>
      </w:r>
    </w:p>
    <w:p w14:paraId="173CF258">
      <w:pPr>
        <w:widowControl/>
        <w:spacing w:line="600" w:lineRule="exact"/>
        <w:ind w:firstLine="640" w:firstLineChars="200"/>
        <w:jc w:val="left"/>
        <w:rPr>
          <w:rFonts w:hint="eastAsia" w:eastAsia="方正小标宋_GBK"/>
          <w:bCs/>
          <w:kern w:val="0"/>
          <w:sz w:val="36"/>
          <w:szCs w:val="36"/>
        </w:rPr>
      </w:pP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2024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年，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我县地方政府债务（转贷）收入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144976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万元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，偿还地方政府债券本金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45104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万元，年底政府债务余额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563667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万元（其中一般债务余额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162758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万元，专项债务余额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392767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万元），控制在省核定限额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56680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万元以内，风险总体可控。</w:t>
      </w:r>
    </w:p>
    <w:p w14:paraId="312852D6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  <w:r>
        <w:rPr>
          <w:rFonts w:eastAsia="方正小标宋_GBK"/>
          <w:bCs/>
          <w:kern w:val="0"/>
          <w:sz w:val="36"/>
          <w:szCs w:val="36"/>
        </w:rPr>
        <w:br w:type="page"/>
      </w:r>
      <w:r>
        <w:rPr>
          <w:rFonts w:eastAsia="方正小标宋_GBK"/>
          <w:bCs/>
          <w:kern w:val="0"/>
          <w:sz w:val="36"/>
          <w:szCs w:val="36"/>
        </w:rPr>
        <w:t>第二部分</w:t>
      </w:r>
      <w:r>
        <w:rPr>
          <w:rFonts w:hint="eastAsia" w:eastAsia="方正小标宋_GBK"/>
          <w:bCs/>
          <w:kern w:val="0"/>
          <w:sz w:val="36"/>
          <w:szCs w:val="36"/>
        </w:rPr>
        <w:t xml:space="preserve"> 决算草案</w:t>
      </w:r>
    </w:p>
    <w:p w14:paraId="157A7BA5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lang w:val="en-US" w:eastAsia="zh-CN"/>
        </w:rPr>
        <w:t>详见2024年决算公开表格</w:t>
      </w:r>
    </w:p>
    <w:p w14:paraId="530535AA">
      <w:pPr>
        <w:pStyle w:val="2"/>
        <w:rPr>
          <w:rFonts w:hint="default"/>
          <w:lang w:val="en-US" w:eastAsia="zh-CN"/>
        </w:rPr>
      </w:pPr>
    </w:p>
    <w:p w14:paraId="74611D9A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1317C4A0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4DD2BB08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7930E552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3FBD10A8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2B171D23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3601DC16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7472B79A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7DF3F9F1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14263449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550A9F91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71ECEDAF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215834E6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0DDEB002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4B5319B9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7B59CBDD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7CCB20BC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24B02BA1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0D96F145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0C3EECE7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5BA51CFF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068A8B2B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7A0716B0">
      <w:pPr>
        <w:widowControl/>
        <w:spacing w:line="600" w:lineRule="exact"/>
        <w:jc w:val="center"/>
        <w:rPr>
          <w:rFonts w:eastAsia="方正小标宋_GBK"/>
          <w:bCs/>
          <w:kern w:val="0"/>
          <w:sz w:val="36"/>
          <w:szCs w:val="36"/>
        </w:rPr>
      </w:pPr>
      <w:r>
        <w:rPr>
          <w:rFonts w:eastAsia="方正小标宋_GBK"/>
          <w:bCs/>
          <w:kern w:val="0"/>
          <w:sz w:val="36"/>
          <w:szCs w:val="36"/>
        </w:rPr>
        <w:t>第</w:t>
      </w:r>
      <w:r>
        <w:rPr>
          <w:rFonts w:hint="eastAsia" w:eastAsia="方正小标宋_GBK"/>
          <w:bCs/>
          <w:kern w:val="0"/>
          <w:sz w:val="36"/>
          <w:szCs w:val="36"/>
        </w:rPr>
        <w:t>三</w:t>
      </w:r>
      <w:r>
        <w:rPr>
          <w:rFonts w:eastAsia="方正小标宋_GBK"/>
          <w:bCs/>
          <w:kern w:val="0"/>
          <w:sz w:val="36"/>
          <w:szCs w:val="36"/>
        </w:rPr>
        <w:t xml:space="preserve">部分 </w:t>
      </w:r>
      <w:r>
        <w:rPr>
          <w:rFonts w:hint="eastAsia" w:eastAsia="方正小标宋_GBK"/>
          <w:bCs/>
          <w:kern w:val="0"/>
          <w:sz w:val="36"/>
          <w:szCs w:val="36"/>
        </w:rPr>
        <w:t>相关</w:t>
      </w:r>
      <w:r>
        <w:rPr>
          <w:rFonts w:eastAsia="方正小标宋_GBK"/>
          <w:bCs/>
          <w:kern w:val="0"/>
          <w:sz w:val="36"/>
          <w:szCs w:val="36"/>
        </w:rPr>
        <w:t>说明</w:t>
      </w:r>
    </w:p>
    <w:p w14:paraId="392CA2CA">
      <w:pPr>
        <w:spacing w:line="600" w:lineRule="exact"/>
        <w:rPr>
          <w:sz w:val="32"/>
          <w:szCs w:val="32"/>
        </w:rPr>
      </w:pPr>
    </w:p>
    <w:p w14:paraId="040D7937">
      <w:pPr>
        <w:spacing w:line="600" w:lineRule="exact"/>
        <w:ind w:firstLine="640" w:firstLineChars="200"/>
        <w:rPr>
          <w:rFonts w:eastAsia="黑体"/>
          <w:color w:val="000000"/>
          <w:sz w:val="32"/>
          <w:szCs w:val="32"/>
        </w:rPr>
      </w:pPr>
      <w:r>
        <w:rPr>
          <w:rFonts w:eastAsia="黑体"/>
          <w:sz w:val="32"/>
          <w:szCs w:val="32"/>
        </w:rPr>
        <w:t>一、</w:t>
      </w:r>
      <w:r>
        <w:rPr>
          <w:rFonts w:eastAsia="黑体"/>
          <w:color w:val="000000"/>
          <w:sz w:val="32"/>
          <w:szCs w:val="32"/>
        </w:rPr>
        <w:t>税收返还和转移支付情况</w:t>
      </w:r>
    </w:p>
    <w:p w14:paraId="7D3FD5D5">
      <w:pPr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2024</w:t>
      </w:r>
      <w:r>
        <w:rPr>
          <w:rFonts w:eastAsia="仿宋_GB2312"/>
          <w:color w:val="000000"/>
          <w:sz w:val="32"/>
          <w:szCs w:val="32"/>
          <w:highlight w:val="none"/>
        </w:rPr>
        <w:t>年，</w:t>
      </w:r>
      <w:r>
        <w:rPr>
          <w:rFonts w:hint="eastAsia" w:eastAsia="仿宋_GB2312"/>
          <w:color w:val="000000"/>
          <w:sz w:val="32"/>
          <w:szCs w:val="32"/>
          <w:highlight w:val="none"/>
          <w:lang w:eastAsia="zh-CN"/>
        </w:rPr>
        <w:t>上</w:t>
      </w:r>
      <w:r>
        <w:rPr>
          <w:rFonts w:hint="eastAsia" w:eastAsia="仿宋_GB2312"/>
          <w:color w:val="000000"/>
          <w:sz w:val="32"/>
          <w:szCs w:val="32"/>
          <w:lang w:eastAsia="zh-CN"/>
        </w:rPr>
        <w:t>级补助收入合计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193031万元</w:t>
      </w:r>
      <w:r>
        <w:rPr>
          <w:rFonts w:eastAsia="仿宋_GB2312"/>
          <w:color w:val="000000"/>
          <w:sz w:val="32"/>
          <w:szCs w:val="32"/>
        </w:rPr>
        <w:t>，比上年减少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216万元</w:t>
      </w:r>
      <w:r>
        <w:rPr>
          <w:rFonts w:eastAsia="仿宋_GB2312"/>
          <w:color w:val="000000"/>
          <w:sz w:val="32"/>
          <w:szCs w:val="32"/>
        </w:rPr>
        <w:t>，降低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0.1%</w:t>
      </w:r>
      <w:r>
        <w:rPr>
          <w:rFonts w:eastAsia="仿宋_GB2312"/>
          <w:color w:val="000000"/>
          <w:sz w:val="32"/>
          <w:szCs w:val="32"/>
        </w:rPr>
        <w:t>。其中：</w:t>
      </w:r>
    </w:p>
    <w:p w14:paraId="3FE7B50C">
      <w:pPr>
        <w:spacing w:line="600" w:lineRule="exact"/>
        <w:ind w:firstLine="643" w:firstLineChars="200"/>
        <w:rPr>
          <w:rFonts w:eastAsia="楷体_GB2312"/>
          <w:b/>
          <w:color w:val="000000"/>
          <w:sz w:val="32"/>
          <w:szCs w:val="32"/>
        </w:rPr>
      </w:pPr>
      <w:r>
        <w:rPr>
          <w:rFonts w:eastAsia="楷体_GB2312"/>
          <w:b/>
          <w:color w:val="000000"/>
          <w:sz w:val="32"/>
          <w:szCs w:val="32"/>
        </w:rPr>
        <w:t>（一）税收返还</w:t>
      </w:r>
    </w:p>
    <w:p w14:paraId="53047E26">
      <w:pPr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税收返还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4199万元</w:t>
      </w:r>
      <w:r>
        <w:rPr>
          <w:rFonts w:eastAsia="仿宋_GB2312"/>
          <w:color w:val="000000"/>
          <w:sz w:val="32"/>
          <w:szCs w:val="32"/>
        </w:rPr>
        <w:t>，增长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59万元</w:t>
      </w:r>
      <w:r>
        <w:rPr>
          <w:rFonts w:eastAsia="仿宋_GB2312"/>
          <w:color w:val="000000"/>
          <w:sz w:val="32"/>
          <w:szCs w:val="32"/>
        </w:rPr>
        <w:t>。其中：</w:t>
      </w:r>
    </w:p>
    <w:p w14:paraId="61A426D4">
      <w:pPr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增值税税收返还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1227万元</w:t>
      </w:r>
      <w:r>
        <w:rPr>
          <w:rFonts w:eastAsia="仿宋_GB2312"/>
          <w:color w:val="000000"/>
          <w:sz w:val="32"/>
          <w:szCs w:val="32"/>
        </w:rPr>
        <w:t>;</w:t>
      </w:r>
    </w:p>
    <w:p w14:paraId="36FEE34C">
      <w:pPr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消费税税收返还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19万元</w:t>
      </w:r>
      <w:r>
        <w:rPr>
          <w:rFonts w:eastAsia="仿宋_GB2312"/>
          <w:color w:val="000000"/>
          <w:sz w:val="32"/>
          <w:szCs w:val="32"/>
        </w:rPr>
        <w:t>;</w:t>
      </w:r>
    </w:p>
    <w:p w14:paraId="62B7FE5F">
      <w:pPr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所得税基数返还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536万元</w:t>
      </w:r>
      <w:r>
        <w:rPr>
          <w:rFonts w:eastAsia="仿宋_GB2312"/>
          <w:color w:val="000000"/>
          <w:sz w:val="32"/>
          <w:szCs w:val="32"/>
        </w:rPr>
        <w:t>;</w:t>
      </w:r>
    </w:p>
    <w:p w14:paraId="3D003CB2">
      <w:pPr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成品油税费改革税收返还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1340万元</w:t>
      </w:r>
      <w:r>
        <w:rPr>
          <w:rFonts w:eastAsia="仿宋_GB2312"/>
          <w:color w:val="000000"/>
          <w:sz w:val="32"/>
          <w:szCs w:val="32"/>
        </w:rPr>
        <w:t>;</w:t>
      </w:r>
    </w:p>
    <w:p w14:paraId="6CF591DD">
      <w:pPr>
        <w:spacing w:line="600" w:lineRule="exact"/>
        <w:ind w:firstLine="640" w:firstLineChars="200"/>
        <w:rPr>
          <w:rFonts w:hint="default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</w:rPr>
        <w:t>增值税“五五分享”税收返还收入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342万元；</w:t>
      </w:r>
    </w:p>
    <w:p w14:paraId="4980AE2F">
      <w:pPr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其他税收返还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735万元</w:t>
      </w:r>
      <w:r>
        <w:rPr>
          <w:rFonts w:eastAsia="仿宋_GB2312"/>
          <w:color w:val="000000"/>
          <w:sz w:val="32"/>
          <w:szCs w:val="32"/>
        </w:rPr>
        <w:t>;</w:t>
      </w:r>
    </w:p>
    <w:p w14:paraId="105B160C">
      <w:pPr>
        <w:spacing w:line="600" w:lineRule="exact"/>
        <w:ind w:firstLine="643" w:firstLineChars="200"/>
        <w:rPr>
          <w:rFonts w:eastAsia="楷体_GB2312"/>
          <w:b/>
          <w:color w:val="000000"/>
          <w:sz w:val="32"/>
          <w:szCs w:val="32"/>
        </w:rPr>
      </w:pPr>
      <w:r>
        <w:rPr>
          <w:rFonts w:eastAsia="楷体_GB2312"/>
          <w:b/>
          <w:color w:val="000000"/>
          <w:sz w:val="32"/>
          <w:szCs w:val="32"/>
        </w:rPr>
        <w:t>（二）一般性转移支付</w:t>
      </w:r>
    </w:p>
    <w:p w14:paraId="7688D0AD">
      <w:pPr>
        <w:spacing w:line="600" w:lineRule="exact"/>
        <w:ind w:firstLine="616" w:firstLineChars="200"/>
        <w:rPr>
          <w:rFonts w:hint="eastAsia" w:eastAsia="仿宋_GB2312"/>
          <w:color w:val="auto"/>
          <w:spacing w:val="-6"/>
          <w:sz w:val="32"/>
          <w:szCs w:val="32"/>
          <w:highlight w:val="none"/>
          <w:lang w:eastAsia="zh-CN"/>
        </w:rPr>
      </w:pPr>
      <w:r>
        <w:rPr>
          <w:rFonts w:eastAsia="仿宋_GB2312"/>
          <w:color w:val="000000"/>
          <w:spacing w:val="-6"/>
          <w:sz w:val="32"/>
          <w:szCs w:val="32"/>
          <w:highlight w:val="none"/>
        </w:rPr>
        <w:t>一般性转移支付</w:t>
      </w:r>
      <w:r>
        <w:rPr>
          <w:rFonts w:hint="eastAsia" w:eastAsia="仿宋_GB2312"/>
          <w:color w:val="000000"/>
          <w:spacing w:val="-6"/>
          <w:sz w:val="32"/>
          <w:szCs w:val="32"/>
          <w:highlight w:val="none"/>
          <w:lang w:val="en-US" w:eastAsia="zh-CN"/>
        </w:rPr>
        <w:t>155226万元</w:t>
      </w:r>
      <w:r>
        <w:rPr>
          <w:rFonts w:eastAsia="仿宋_GB2312"/>
          <w:color w:val="000000"/>
          <w:spacing w:val="-6"/>
          <w:sz w:val="32"/>
          <w:szCs w:val="32"/>
          <w:highlight w:val="none"/>
        </w:rPr>
        <w:t>，比上年减</w:t>
      </w:r>
      <w:r>
        <w:rPr>
          <w:rFonts w:hint="eastAsia" w:eastAsia="仿宋_GB2312"/>
          <w:color w:val="000000"/>
          <w:spacing w:val="-6"/>
          <w:sz w:val="32"/>
          <w:szCs w:val="32"/>
          <w:highlight w:val="none"/>
          <w:lang w:eastAsia="zh-CN"/>
        </w:rPr>
        <w:t>少</w:t>
      </w:r>
      <w:r>
        <w:rPr>
          <w:rFonts w:hint="eastAsia" w:eastAsia="仿宋_GB2312"/>
          <w:color w:val="000000"/>
          <w:spacing w:val="-6"/>
          <w:sz w:val="32"/>
          <w:szCs w:val="32"/>
          <w:highlight w:val="none"/>
          <w:lang w:val="en-US" w:eastAsia="zh-CN"/>
        </w:rPr>
        <w:t>11485万元</w:t>
      </w:r>
      <w:r>
        <w:rPr>
          <w:rFonts w:eastAsia="仿宋_GB2312"/>
          <w:color w:val="000000"/>
          <w:spacing w:val="-6"/>
          <w:sz w:val="32"/>
          <w:szCs w:val="32"/>
          <w:highlight w:val="none"/>
        </w:rPr>
        <w:t>，降低</w:t>
      </w:r>
      <w:r>
        <w:rPr>
          <w:rFonts w:hint="eastAsia" w:eastAsia="仿宋_GB2312"/>
          <w:color w:val="000000"/>
          <w:spacing w:val="-6"/>
          <w:sz w:val="32"/>
          <w:szCs w:val="32"/>
          <w:highlight w:val="none"/>
          <w:lang w:val="en-US" w:eastAsia="zh-CN"/>
        </w:rPr>
        <w:t>6.8%</w:t>
      </w:r>
      <w:r>
        <w:rPr>
          <w:rFonts w:eastAsia="仿宋_GB2312"/>
          <w:color w:val="000000"/>
          <w:spacing w:val="-6"/>
          <w:sz w:val="32"/>
          <w:szCs w:val="32"/>
          <w:highlight w:val="none"/>
        </w:rPr>
        <w:t>，</w:t>
      </w:r>
      <w:r>
        <w:rPr>
          <w:rFonts w:hint="eastAsia" w:eastAsia="仿宋_GB2312"/>
          <w:color w:val="auto"/>
          <w:spacing w:val="-6"/>
          <w:sz w:val="32"/>
          <w:szCs w:val="32"/>
          <w:highlight w:val="none"/>
          <w:lang w:eastAsia="zh-CN"/>
        </w:rPr>
        <w:t>主要是2025年减少农林水共同财政事权转移支付收入、增值税留抵退税转移支付收入、其他退税减税降费转移支付收入</w:t>
      </w:r>
    </w:p>
    <w:p w14:paraId="342468FE">
      <w:pPr>
        <w:spacing w:line="600" w:lineRule="exact"/>
        <w:ind w:firstLine="640" w:firstLineChars="200"/>
        <w:rPr>
          <w:rFonts w:hint="eastAsia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eastAsia="仿宋_GB2312"/>
          <w:color w:val="auto"/>
          <w:sz w:val="32"/>
          <w:szCs w:val="32"/>
          <w:highlight w:val="none"/>
        </w:rPr>
        <w:t>1.结算补助</w:t>
      </w: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2725万元</w:t>
      </w:r>
      <w:r>
        <w:rPr>
          <w:rFonts w:eastAsia="仿宋_GB2312"/>
          <w:color w:val="auto"/>
          <w:sz w:val="32"/>
          <w:szCs w:val="32"/>
          <w:highlight w:val="none"/>
        </w:rPr>
        <w:t>, 比</w:t>
      </w:r>
      <w:r>
        <w:rPr>
          <w:rFonts w:hint="eastAsia" w:eastAsia="仿宋_GB2312"/>
          <w:color w:val="auto"/>
          <w:sz w:val="32"/>
          <w:szCs w:val="32"/>
          <w:highlight w:val="none"/>
          <w:lang w:eastAsia="zh-CN"/>
        </w:rPr>
        <w:t>减少</w:t>
      </w: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1502万元</w:t>
      </w:r>
      <w:r>
        <w:rPr>
          <w:rFonts w:eastAsia="仿宋_GB2312"/>
          <w:color w:val="auto"/>
          <w:sz w:val="32"/>
          <w:szCs w:val="32"/>
          <w:highlight w:val="none"/>
        </w:rPr>
        <w:t>，</w:t>
      </w:r>
      <w:r>
        <w:rPr>
          <w:rFonts w:hint="eastAsia" w:eastAsia="仿宋_GB2312"/>
          <w:color w:val="auto"/>
          <w:sz w:val="32"/>
          <w:szCs w:val="32"/>
          <w:highlight w:val="none"/>
          <w:lang w:eastAsia="zh-CN"/>
        </w:rPr>
        <w:t>下降</w:t>
      </w: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35.53%</w:t>
      </w:r>
      <w:r>
        <w:rPr>
          <w:rFonts w:eastAsia="仿宋_GB2312"/>
          <w:color w:val="auto"/>
          <w:sz w:val="32"/>
          <w:szCs w:val="32"/>
          <w:highlight w:val="none"/>
        </w:rPr>
        <w:t>，主要是</w:t>
      </w:r>
      <w:r>
        <w:rPr>
          <w:rFonts w:hint="eastAsia" w:eastAsia="仿宋_GB2312"/>
          <w:color w:val="auto"/>
          <w:sz w:val="32"/>
          <w:szCs w:val="32"/>
          <w:highlight w:val="none"/>
          <w:lang w:eastAsia="zh-CN"/>
        </w:rPr>
        <w:t>减少疫情防控财力补助资金1619万元、医务人员临时性工作补助资金209万元。</w:t>
      </w:r>
    </w:p>
    <w:p w14:paraId="4AF567C7">
      <w:pPr>
        <w:spacing w:line="600" w:lineRule="exact"/>
        <w:ind w:firstLine="616" w:firstLineChars="200"/>
        <w:rPr>
          <w:rFonts w:hint="eastAsia" w:eastAsia="仿宋_GB2312"/>
          <w:color w:val="0000FF"/>
          <w:spacing w:val="-6"/>
          <w:sz w:val="32"/>
          <w:szCs w:val="32"/>
          <w:highlight w:val="none"/>
          <w:lang w:eastAsia="zh-CN"/>
        </w:rPr>
      </w:pPr>
      <w:r>
        <w:rPr>
          <w:rFonts w:eastAsia="仿宋_GB2312"/>
          <w:color w:val="000000"/>
          <w:spacing w:val="-6"/>
          <w:sz w:val="32"/>
          <w:szCs w:val="32"/>
          <w:highlight w:val="none"/>
        </w:rPr>
        <w:t>2.均衡性转移支付</w:t>
      </w:r>
      <w:r>
        <w:rPr>
          <w:rFonts w:hint="eastAsia" w:eastAsia="仿宋_GB2312"/>
          <w:color w:val="000000"/>
          <w:spacing w:val="-6"/>
          <w:sz w:val="32"/>
          <w:szCs w:val="32"/>
          <w:highlight w:val="none"/>
          <w:lang w:val="en-US" w:eastAsia="zh-CN"/>
        </w:rPr>
        <w:t>45244万元</w:t>
      </w:r>
      <w:r>
        <w:rPr>
          <w:rFonts w:eastAsia="仿宋_GB2312"/>
          <w:color w:val="000000"/>
          <w:spacing w:val="-6"/>
          <w:sz w:val="32"/>
          <w:szCs w:val="32"/>
          <w:highlight w:val="none"/>
        </w:rPr>
        <w:t>, 比上年增加</w:t>
      </w:r>
      <w:r>
        <w:rPr>
          <w:rFonts w:hint="eastAsia" w:eastAsia="仿宋_GB2312"/>
          <w:color w:val="000000"/>
          <w:spacing w:val="-6"/>
          <w:sz w:val="32"/>
          <w:szCs w:val="32"/>
          <w:highlight w:val="none"/>
          <w:lang w:val="en-US" w:eastAsia="zh-CN"/>
        </w:rPr>
        <w:t>934万元</w:t>
      </w:r>
      <w:r>
        <w:rPr>
          <w:rFonts w:eastAsia="仿宋_GB2312"/>
          <w:color w:val="000000"/>
          <w:spacing w:val="-6"/>
          <w:sz w:val="32"/>
          <w:szCs w:val="32"/>
          <w:highlight w:val="none"/>
        </w:rPr>
        <w:t>，增长</w:t>
      </w:r>
      <w:r>
        <w:rPr>
          <w:rFonts w:hint="eastAsia" w:eastAsia="仿宋_GB2312"/>
          <w:color w:val="000000"/>
          <w:spacing w:val="-6"/>
          <w:sz w:val="32"/>
          <w:szCs w:val="32"/>
          <w:highlight w:val="none"/>
          <w:lang w:val="en-US" w:eastAsia="zh-CN"/>
        </w:rPr>
        <w:t>2.1%</w:t>
      </w:r>
      <w:r>
        <w:rPr>
          <w:rFonts w:eastAsia="仿宋_GB2312"/>
          <w:color w:val="000000"/>
          <w:spacing w:val="-6"/>
          <w:sz w:val="32"/>
          <w:szCs w:val="32"/>
          <w:highlight w:val="none"/>
        </w:rPr>
        <w:t>，主要是</w:t>
      </w:r>
      <w:r>
        <w:rPr>
          <w:rFonts w:hint="eastAsia" w:eastAsia="仿宋_GB2312"/>
          <w:color w:val="000000"/>
          <w:spacing w:val="-6"/>
          <w:sz w:val="32"/>
          <w:szCs w:val="32"/>
          <w:highlight w:val="none"/>
          <w:lang w:val="en-US" w:eastAsia="zh-CN"/>
        </w:rPr>
        <w:t>财源建设奖励资金1700万元。</w:t>
      </w:r>
    </w:p>
    <w:p w14:paraId="7E5F5DE7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3.县级基本财力保障机制奖补资金收入14740万元，</w:t>
      </w:r>
      <w:r>
        <w:rPr>
          <w:rFonts w:eastAsia="仿宋_GB2312"/>
          <w:color w:val="000000"/>
          <w:sz w:val="32"/>
          <w:szCs w:val="32"/>
          <w:highlight w:val="none"/>
        </w:rPr>
        <w:t xml:space="preserve"> 比上年</w:t>
      </w:r>
      <w:r>
        <w:rPr>
          <w:rFonts w:hint="eastAsia" w:eastAsia="仿宋_GB2312"/>
          <w:color w:val="000000"/>
          <w:sz w:val="32"/>
          <w:szCs w:val="32"/>
          <w:highlight w:val="none"/>
          <w:lang w:eastAsia="zh-CN"/>
        </w:rPr>
        <w:t>减少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63万元，下降0.4%。</w:t>
      </w:r>
    </w:p>
    <w:p w14:paraId="4BDF718D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4.体制补助收入205万元，与上年持平。</w:t>
      </w:r>
    </w:p>
    <w:p w14:paraId="46F6496A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5.企业事业单位划转补助收入90万元，与上年持平。</w:t>
      </w:r>
    </w:p>
    <w:p w14:paraId="7D7B3B7C">
      <w:pPr>
        <w:spacing w:line="600" w:lineRule="exact"/>
        <w:ind w:firstLine="640" w:firstLineChars="200"/>
        <w:rPr>
          <w:rFonts w:hint="default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6.产粮(油)大县奖励资金收入656万元，</w:t>
      </w:r>
      <w:r>
        <w:rPr>
          <w:rFonts w:eastAsia="仿宋_GB2312"/>
          <w:color w:val="000000"/>
          <w:sz w:val="32"/>
          <w:szCs w:val="32"/>
          <w:highlight w:val="none"/>
        </w:rPr>
        <w:t>比上年增加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36万元，增长5.8%。</w:t>
      </w:r>
    </w:p>
    <w:p w14:paraId="5A5FB738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7.重点生态功能区转移支付收入9966万元，</w:t>
      </w:r>
      <w:r>
        <w:rPr>
          <w:rFonts w:eastAsia="仿宋_GB2312"/>
          <w:color w:val="000000"/>
          <w:sz w:val="32"/>
          <w:szCs w:val="32"/>
          <w:highlight w:val="none"/>
        </w:rPr>
        <w:t>比上年增加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207万元，增长2.12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ab/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%。</w:t>
      </w:r>
    </w:p>
    <w:p w14:paraId="48F2C61C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8.固定数额补助收入8940万元，与上年持平。</w:t>
      </w:r>
    </w:p>
    <w:p w14:paraId="6BC43B3F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9.革命老区转移支付收入2119万元，</w:t>
      </w:r>
      <w:r>
        <w:rPr>
          <w:rFonts w:eastAsia="仿宋_GB2312"/>
          <w:color w:val="000000"/>
          <w:sz w:val="32"/>
          <w:szCs w:val="32"/>
          <w:highlight w:val="none"/>
        </w:rPr>
        <w:t>比上年增加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8万元，增长0.1%。</w:t>
      </w:r>
    </w:p>
    <w:p w14:paraId="2DF701DE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10.巩固脱贫攻坚成果衔接乡村振兴转移支付收入6764万元，比上年增加2391万元，增长54.64%。</w:t>
      </w:r>
    </w:p>
    <w:p w14:paraId="5E77B411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11.公共安全共同财政事权转移支付收入1008万元，比上年增加46万元，增长4.7%。</w:t>
      </w:r>
    </w:p>
    <w:p w14:paraId="68C6C3BD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12.教育共同财政事权转移支付收入14700万元，比上年增加706万元，增长5%。</w:t>
      </w:r>
    </w:p>
    <w:p w14:paraId="2807CDAF">
      <w:pPr>
        <w:spacing w:line="600" w:lineRule="exact"/>
        <w:ind w:firstLine="640" w:firstLineChars="200"/>
        <w:rPr>
          <w:rFonts w:hint="default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13.科学技术共同财政事权转移支付收入140万元，比上年增加90万元，增长180%。</w:t>
      </w:r>
    </w:p>
    <w:p w14:paraId="6FC75169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14.文化旅游体育与传媒共同财政事权转移支付收入476万元，比上年减少65万元，下降13.4%</w:t>
      </w:r>
    </w:p>
    <w:p w14:paraId="0DF352D7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15.社会保障和就业共同财政事权转移支付收入19464万元，比上年增加443万元，增长2.3%</w:t>
      </w:r>
    </w:p>
    <w:p w14:paraId="4282D522">
      <w:pPr>
        <w:spacing w:line="600" w:lineRule="exact"/>
        <w:ind w:firstLine="640" w:firstLineChars="200"/>
        <w:rPr>
          <w:rFonts w:hint="default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16.医疗卫生共同财政事权转移支付收入5306万元，比上年减少201万元，下降3.6%。</w:t>
      </w:r>
    </w:p>
    <w:p w14:paraId="62DF2479">
      <w:pPr>
        <w:spacing w:line="600" w:lineRule="exact"/>
        <w:ind w:firstLine="640" w:firstLineChars="200"/>
        <w:rPr>
          <w:rFonts w:hint="default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17.节能环保共同财政事权转移支付收入704万元，</w:t>
      </w:r>
      <w:r>
        <w:rPr>
          <w:rFonts w:eastAsia="仿宋_GB2312"/>
          <w:color w:val="000000"/>
          <w:sz w:val="32"/>
          <w:szCs w:val="32"/>
          <w:highlight w:val="none"/>
        </w:rPr>
        <w:t>比上年</w:t>
      </w:r>
      <w:r>
        <w:rPr>
          <w:rFonts w:hint="eastAsia" w:eastAsia="仿宋_GB2312"/>
          <w:color w:val="000000"/>
          <w:sz w:val="32"/>
          <w:szCs w:val="32"/>
          <w:highlight w:val="none"/>
          <w:lang w:eastAsia="zh-CN"/>
        </w:rPr>
        <w:t>减少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121万元，下降14.6%。</w:t>
      </w:r>
    </w:p>
    <w:p w14:paraId="2AC6CB4C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18.农林水共同财政事权转移支付收入14365万元，比上年下降4297万元，下降24.76%。</w:t>
      </w:r>
    </w:p>
    <w:p w14:paraId="09466F73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19.交通运输共同财政事权转移支付收入5490万元，比上年减少531万元，下降</w:t>
      </w:r>
      <w:bookmarkStart w:id="0" w:name="_GoBack"/>
      <w:bookmarkEnd w:id="0"/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7.38%。</w:t>
      </w:r>
    </w:p>
    <w:p w14:paraId="26EC9A8C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20.住房保障共同财政事权转移支付收入504万元，比上年减少621万元，下降55.2%。</w:t>
      </w:r>
    </w:p>
    <w:p w14:paraId="3E6EF99C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21.粮油物资储备共同财政事权转移支付收入191万元，比上年减少11万元，下降5.7%。</w:t>
      </w:r>
    </w:p>
    <w:p w14:paraId="43FB6163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22.灾害防治及应急管理共同财政事权转移支付收入199万元，比上年增加126万元，增长172.6%。</w:t>
      </w:r>
    </w:p>
    <w:p w14:paraId="6DEAEE32">
      <w:pPr>
        <w:spacing w:line="600" w:lineRule="exact"/>
        <w:ind w:firstLine="640" w:firstLineChars="200"/>
        <w:rPr>
          <w:rFonts w:hint="default" w:eastAsia="仿宋_GB2312"/>
          <w:color w:val="000000"/>
          <w:sz w:val="32"/>
          <w:szCs w:val="32"/>
          <w:highlight w:val="yellow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23.其他一般性转移支付收入1266万元，比上年减少2463万元，</w:t>
      </w: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下降66.04%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，主要是去年有农村客运补贴资金和城市交通发展奖励资金790万元、重大项目耕地开垦费市县成本补偿资金335万元、新冠病毒疫苗及接种费用300万元等。</w:t>
      </w:r>
    </w:p>
    <w:p w14:paraId="22CD3727">
      <w:pPr>
        <w:spacing w:line="580" w:lineRule="exact"/>
        <w:ind w:firstLine="643" w:firstLineChars="200"/>
        <w:rPr>
          <w:rFonts w:eastAsia="楷体_GB2312"/>
          <w:b/>
          <w:color w:val="000000"/>
          <w:sz w:val="32"/>
          <w:szCs w:val="32"/>
        </w:rPr>
      </w:pPr>
      <w:r>
        <w:rPr>
          <w:rFonts w:eastAsia="楷体_GB2312"/>
          <w:b/>
          <w:color w:val="000000"/>
          <w:sz w:val="32"/>
          <w:szCs w:val="32"/>
        </w:rPr>
        <w:t>（三）专项转移支付</w:t>
      </w:r>
    </w:p>
    <w:p w14:paraId="4E8ED39F">
      <w:pPr>
        <w:spacing w:line="580" w:lineRule="exact"/>
        <w:ind w:firstLine="640" w:firstLineChars="200"/>
        <w:rPr>
          <w:rFonts w:eastAsia="仿宋_GB2312"/>
          <w:color w:val="000000"/>
          <w:sz w:val="32"/>
          <w:szCs w:val="32"/>
          <w:highlight w:val="none"/>
        </w:rPr>
      </w:pPr>
      <w:r>
        <w:rPr>
          <w:rFonts w:eastAsia="仿宋_GB2312"/>
          <w:color w:val="000000"/>
          <w:sz w:val="32"/>
          <w:szCs w:val="32"/>
          <w:highlight w:val="none"/>
        </w:rPr>
        <w:t>专项转移支付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22081万元</w:t>
      </w:r>
      <w:r>
        <w:rPr>
          <w:rFonts w:eastAsia="仿宋_GB2312"/>
          <w:color w:val="000000"/>
          <w:sz w:val="32"/>
          <w:szCs w:val="32"/>
          <w:highlight w:val="none"/>
        </w:rPr>
        <w:t>，比上年增加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11269万元</w:t>
      </w:r>
      <w:r>
        <w:rPr>
          <w:rFonts w:eastAsia="仿宋_GB2312"/>
          <w:color w:val="000000"/>
          <w:sz w:val="32"/>
          <w:szCs w:val="32"/>
          <w:highlight w:val="none"/>
        </w:rPr>
        <w:t>，增长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51.03%</w:t>
      </w:r>
      <w:r>
        <w:rPr>
          <w:rFonts w:eastAsia="仿宋_GB2312"/>
          <w:color w:val="000000"/>
          <w:sz w:val="32"/>
          <w:szCs w:val="32"/>
          <w:highlight w:val="none"/>
        </w:rPr>
        <w:t>，主要是</w:t>
      </w:r>
      <w:r>
        <w:rPr>
          <w:rFonts w:hint="eastAsia" w:eastAsia="仿宋_GB2312"/>
          <w:color w:val="000000"/>
          <w:sz w:val="32"/>
          <w:szCs w:val="32"/>
          <w:highlight w:val="none"/>
          <w:lang w:eastAsia="zh-CN"/>
        </w:rPr>
        <w:t>专项用于节能环保、住房保障的资金增加</w:t>
      </w:r>
      <w:r>
        <w:rPr>
          <w:rFonts w:eastAsia="仿宋_GB2312"/>
          <w:color w:val="000000"/>
          <w:sz w:val="32"/>
          <w:szCs w:val="32"/>
          <w:highlight w:val="none"/>
        </w:rPr>
        <w:t>。其中：</w:t>
      </w:r>
    </w:p>
    <w:p w14:paraId="7735C76E"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eastAsia="仿宋_GB2312"/>
          <w:color w:val="000000"/>
          <w:sz w:val="32"/>
          <w:szCs w:val="32"/>
          <w:highlight w:val="none"/>
        </w:rPr>
        <w:t>一般公共服务支出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651</w:t>
      </w:r>
      <w:r>
        <w:rPr>
          <w:rFonts w:hint="eastAsia" w:eastAsia="仿宋_GB2312"/>
          <w:color w:val="000000"/>
          <w:sz w:val="32"/>
          <w:szCs w:val="32"/>
          <w:highlight w:val="none"/>
          <w:lang w:eastAsia="zh-CN"/>
        </w:rPr>
        <w:t>。</w:t>
      </w:r>
      <w:r>
        <w:rPr>
          <w:rFonts w:eastAsia="仿宋_GB2312"/>
          <w:color w:val="000000"/>
          <w:sz w:val="32"/>
          <w:szCs w:val="32"/>
          <w:highlight w:val="none"/>
        </w:rPr>
        <w:t>教育支出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238万元</w:t>
      </w:r>
      <w:r>
        <w:rPr>
          <w:rFonts w:eastAsia="仿宋_GB2312"/>
          <w:color w:val="000000"/>
          <w:sz w:val="32"/>
          <w:szCs w:val="32"/>
          <w:highlight w:val="none"/>
        </w:rPr>
        <w:t xml:space="preserve">, 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公共安全37万元，科学技术114万元，文化旅游体育与传媒175万元，社会保障和就业2333万元，卫生健康274万元，节能环保17043万元。城乡社区1930万元，农林水4425万元,交通运输1016万元，资源勘探工业信息等786万元，商业服务业等399万元，金融70万元，</w:t>
      </w:r>
      <w:r>
        <w:rPr>
          <w:rFonts w:hint="default" w:eastAsia="仿宋_GB2312"/>
          <w:color w:val="000000"/>
          <w:sz w:val="32"/>
          <w:szCs w:val="32"/>
          <w:highlight w:val="none"/>
          <w:lang w:val="en-US" w:eastAsia="zh-CN"/>
        </w:rPr>
        <w:t>然资源海洋气象等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115万元，</w:t>
      </w:r>
      <w:r>
        <w:rPr>
          <w:rFonts w:hint="default" w:eastAsia="仿宋_GB2312"/>
          <w:color w:val="000000"/>
          <w:sz w:val="32"/>
          <w:szCs w:val="32"/>
          <w:highlight w:val="none"/>
          <w:lang w:val="en-US" w:eastAsia="zh-CN"/>
        </w:rPr>
        <w:t>住房保障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679万元，</w:t>
      </w:r>
      <w:r>
        <w:rPr>
          <w:rFonts w:hint="default" w:eastAsia="仿宋_GB2312"/>
          <w:color w:val="000000"/>
          <w:sz w:val="32"/>
          <w:szCs w:val="32"/>
          <w:highlight w:val="none"/>
          <w:lang w:val="en-US" w:eastAsia="zh-CN"/>
        </w:rPr>
        <w:t>粮油物资储备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109万元，</w:t>
      </w:r>
      <w:r>
        <w:rPr>
          <w:rFonts w:hint="default" w:eastAsia="仿宋_GB2312"/>
          <w:color w:val="000000"/>
          <w:sz w:val="32"/>
          <w:szCs w:val="32"/>
          <w:highlight w:val="none"/>
          <w:lang w:val="en-US" w:eastAsia="zh-CN"/>
        </w:rPr>
        <w:t>灾害防治及应急管理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2973万元，其他收入37万元。</w:t>
      </w:r>
    </w:p>
    <w:p w14:paraId="6FC49360">
      <w:pPr>
        <w:numPr>
          <w:ilvl w:val="0"/>
          <w:numId w:val="0"/>
        </w:numPr>
        <w:spacing w:line="580" w:lineRule="exact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二、举借政府债务情况</w:t>
      </w:r>
    </w:p>
    <w:p w14:paraId="12B139A1">
      <w:pPr>
        <w:spacing w:line="580" w:lineRule="exact"/>
        <w:ind w:firstLine="643" w:firstLineChars="200"/>
        <w:rPr>
          <w:rFonts w:eastAsia="楷体_GB2312"/>
          <w:b/>
          <w:color w:val="000000"/>
          <w:sz w:val="32"/>
          <w:szCs w:val="32"/>
        </w:rPr>
      </w:pPr>
      <w:r>
        <w:rPr>
          <w:rFonts w:eastAsia="楷体_GB2312"/>
          <w:b/>
          <w:color w:val="000000"/>
          <w:sz w:val="32"/>
          <w:szCs w:val="32"/>
        </w:rPr>
        <w:t>（一）地方政府债务限额余额情况</w:t>
      </w:r>
    </w:p>
    <w:p w14:paraId="5F9ED824"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2024</w:t>
      </w:r>
      <w:r>
        <w:rPr>
          <w:rFonts w:eastAsia="仿宋_GB2312"/>
          <w:sz w:val="32"/>
          <w:szCs w:val="32"/>
        </w:rPr>
        <w:t>年，政府债务总限额</w:t>
      </w:r>
      <w:r>
        <w:rPr>
          <w:rFonts w:hint="eastAsia" w:eastAsia="仿宋_GB2312"/>
          <w:sz w:val="32"/>
          <w:szCs w:val="32"/>
          <w:lang w:val="en-US" w:eastAsia="zh-CN"/>
        </w:rPr>
        <w:t>566801万元</w:t>
      </w:r>
      <w:r>
        <w:rPr>
          <w:rFonts w:eastAsia="仿宋_GB2312"/>
          <w:sz w:val="32"/>
          <w:szCs w:val="32"/>
        </w:rPr>
        <w:t>，其中一般债务限额</w:t>
      </w:r>
      <w:r>
        <w:rPr>
          <w:rFonts w:hint="eastAsia" w:eastAsia="仿宋_GB2312"/>
          <w:sz w:val="32"/>
          <w:szCs w:val="32"/>
          <w:lang w:val="en-US" w:eastAsia="zh-CN"/>
        </w:rPr>
        <w:t>174034万元</w:t>
      </w:r>
      <w:r>
        <w:rPr>
          <w:rFonts w:eastAsia="仿宋_GB2312"/>
          <w:sz w:val="32"/>
          <w:szCs w:val="32"/>
        </w:rPr>
        <w:t>，专项债务限额</w:t>
      </w:r>
      <w:r>
        <w:rPr>
          <w:rFonts w:hint="eastAsia" w:eastAsia="仿宋_GB2312"/>
          <w:sz w:val="32"/>
          <w:szCs w:val="32"/>
          <w:lang w:val="en-US" w:eastAsia="zh-CN"/>
        </w:rPr>
        <w:t>392767万元</w:t>
      </w:r>
      <w:r>
        <w:rPr>
          <w:rFonts w:eastAsia="仿宋_GB2312"/>
          <w:sz w:val="32"/>
          <w:szCs w:val="32"/>
        </w:rPr>
        <w:t>。截止</w:t>
      </w:r>
      <w:r>
        <w:rPr>
          <w:rFonts w:hint="eastAsia" w:eastAsia="仿宋_GB2312"/>
          <w:sz w:val="32"/>
          <w:szCs w:val="32"/>
          <w:lang w:val="en-US" w:eastAsia="zh-CN"/>
        </w:rPr>
        <w:t>2024</w:t>
      </w:r>
      <w:r>
        <w:rPr>
          <w:rFonts w:eastAsia="仿宋_GB2312"/>
          <w:sz w:val="32"/>
          <w:szCs w:val="32"/>
        </w:rPr>
        <w:t>年底，地方政府债务余额</w:t>
      </w:r>
      <w:r>
        <w:rPr>
          <w:rFonts w:hint="eastAsia" w:eastAsia="仿宋_GB2312"/>
          <w:sz w:val="32"/>
          <w:szCs w:val="32"/>
          <w:lang w:val="en-US" w:eastAsia="zh-CN"/>
        </w:rPr>
        <w:t>563667万元</w:t>
      </w:r>
      <w:r>
        <w:rPr>
          <w:rFonts w:eastAsia="仿宋_GB2312"/>
          <w:sz w:val="32"/>
          <w:szCs w:val="32"/>
        </w:rPr>
        <w:t>，其中一般债务余额</w:t>
      </w:r>
      <w:r>
        <w:rPr>
          <w:rFonts w:hint="eastAsia" w:eastAsia="仿宋_GB2312"/>
          <w:sz w:val="32"/>
          <w:szCs w:val="32"/>
          <w:lang w:val="en-US" w:eastAsia="zh-CN"/>
        </w:rPr>
        <w:t>162758万元</w:t>
      </w:r>
      <w:r>
        <w:rPr>
          <w:rFonts w:eastAsia="仿宋_GB2312"/>
          <w:sz w:val="32"/>
          <w:szCs w:val="32"/>
        </w:rPr>
        <w:t>，专项债务余额</w:t>
      </w:r>
      <w:r>
        <w:rPr>
          <w:rFonts w:hint="eastAsia" w:eastAsia="仿宋_GB2312"/>
          <w:sz w:val="32"/>
          <w:szCs w:val="32"/>
          <w:lang w:val="en-US" w:eastAsia="zh-CN"/>
        </w:rPr>
        <w:t>392767万元</w:t>
      </w:r>
      <w:r>
        <w:rPr>
          <w:rFonts w:eastAsia="仿宋_GB2312"/>
          <w:sz w:val="32"/>
          <w:szCs w:val="32"/>
        </w:rPr>
        <w:t>。</w:t>
      </w:r>
    </w:p>
    <w:p w14:paraId="54B48AAA">
      <w:pPr>
        <w:spacing w:line="580" w:lineRule="exact"/>
        <w:ind w:firstLine="643" w:firstLineChars="200"/>
        <w:rPr>
          <w:rFonts w:eastAsia="楷体_GB2312"/>
          <w:b/>
          <w:color w:val="000000"/>
          <w:sz w:val="32"/>
          <w:szCs w:val="32"/>
        </w:rPr>
      </w:pPr>
      <w:r>
        <w:rPr>
          <w:rFonts w:eastAsia="楷体_GB2312"/>
          <w:b/>
          <w:color w:val="000000"/>
          <w:sz w:val="32"/>
          <w:szCs w:val="32"/>
        </w:rPr>
        <w:t>（二）地方政府债券发行情况</w:t>
      </w:r>
    </w:p>
    <w:p w14:paraId="26707532"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2024</w:t>
      </w:r>
      <w:r>
        <w:rPr>
          <w:rFonts w:eastAsia="仿宋_GB2312"/>
          <w:sz w:val="32"/>
          <w:szCs w:val="32"/>
        </w:rPr>
        <w:t>年，省转贷新增债务限额</w:t>
      </w:r>
      <w:r>
        <w:rPr>
          <w:rFonts w:hint="eastAsia" w:eastAsia="仿宋_GB2312"/>
          <w:sz w:val="32"/>
          <w:szCs w:val="32"/>
          <w:lang w:val="en-US" w:eastAsia="zh-CN"/>
        </w:rPr>
        <w:t>566801万元</w:t>
      </w:r>
      <w:r>
        <w:rPr>
          <w:rFonts w:eastAsia="仿宋_GB2312"/>
          <w:sz w:val="32"/>
          <w:szCs w:val="32"/>
        </w:rPr>
        <w:t>，其中一般债务限额</w:t>
      </w:r>
      <w:r>
        <w:rPr>
          <w:rFonts w:hint="eastAsia" w:eastAsia="仿宋_GB2312"/>
          <w:sz w:val="32"/>
          <w:szCs w:val="32"/>
          <w:lang w:val="en-US" w:eastAsia="zh-CN"/>
        </w:rPr>
        <w:t>174034万元</w:t>
      </w:r>
      <w:r>
        <w:rPr>
          <w:rFonts w:eastAsia="仿宋_GB2312"/>
          <w:sz w:val="32"/>
          <w:szCs w:val="32"/>
        </w:rPr>
        <w:t>，专项债务限额</w:t>
      </w:r>
      <w:r>
        <w:rPr>
          <w:rFonts w:hint="eastAsia" w:eastAsia="仿宋_GB2312"/>
          <w:sz w:val="32"/>
          <w:szCs w:val="32"/>
          <w:lang w:val="en-US" w:eastAsia="zh-CN"/>
        </w:rPr>
        <w:t>392767万元</w:t>
      </w:r>
      <w:r>
        <w:rPr>
          <w:rFonts w:eastAsia="仿宋_GB2312"/>
          <w:sz w:val="32"/>
          <w:szCs w:val="32"/>
        </w:rPr>
        <w:t>，据此，发行一般债券</w:t>
      </w:r>
      <w:r>
        <w:rPr>
          <w:rFonts w:hint="eastAsia" w:eastAsia="仿宋_GB2312"/>
          <w:sz w:val="32"/>
          <w:szCs w:val="32"/>
          <w:lang w:val="en-US" w:eastAsia="zh-CN"/>
        </w:rPr>
        <w:t>32576万元</w:t>
      </w:r>
      <w:r>
        <w:rPr>
          <w:rFonts w:eastAsia="仿宋_GB2312"/>
          <w:sz w:val="32"/>
          <w:szCs w:val="32"/>
        </w:rPr>
        <w:t>，专项债券</w:t>
      </w:r>
      <w:r>
        <w:rPr>
          <w:rFonts w:hint="eastAsia" w:eastAsia="仿宋_GB2312"/>
          <w:sz w:val="32"/>
          <w:szCs w:val="32"/>
          <w:lang w:val="en-US" w:eastAsia="zh-CN"/>
        </w:rPr>
        <w:t>112400万元。</w:t>
      </w:r>
    </w:p>
    <w:p w14:paraId="6683E860">
      <w:pPr>
        <w:spacing w:line="580" w:lineRule="exact"/>
        <w:ind w:firstLine="643" w:firstLineChars="200"/>
        <w:rPr>
          <w:rFonts w:eastAsia="楷体_GB2312"/>
          <w:b/>
          <w:color w:val="000000"/>
          <w:sz w:val="32"/>
          <w:szCs w:val="32"/>
        </w:rPr>
      </w:pPr>
      <w:r>
        <w:rPr>
          <w:rFonts w:eastAsia="楷体_GB2312"/>
          <w:b/>
          <w:color w:val="000000"/>
          <w:sz w:val="32"/>
          <w:szCs w:val="32"/>
        </w:rPr>
        <w:t>(三)地方政府债务还本付息情况</w:t>
      </w:r>
    </w:p>
    <w:p w14:paraId="7C4B588B"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2024</w:t>
      </w:r>
      <w:r>
        <w:rPr>
          <w:rFonts w:eastAsia="仿宋_GB2312"/>
          <w:sz w:val="32"/>
          <w:szCs w:val="32"/>
        </w:rPr>
        <w:t>年偿还地方政府债券本金</w:t>
      </w:r>
      <w:r>
        <w:rPr>
          <w:rFonts w:hint="eastAsia" w:eastAsia="仿宋_GB2312"/>
          <w:sz w:val="32"/>
          <w:szCs w:val="32"/>
          <w:lang w:val="en-US" w:eastAsia="zh-CN"/>
        </w:rPr>
        <w:t>45104万元</w:t>
      </w:r>
      <w:r>
        <w:rPr>
          <w:rFonts w:eastAsia="仿宋_GB2312"/>
          <w:sz w:val="32"/>
          <w:szCs w:val="32"/>
        </w:rPr>
        <w:t>，其中一般债券</w:t>
      </w:r>
      <w:r>
        <w:rPr>
          <w:rFonts w:hint="eastAsia" w:eastAsia="仿宋_GB2312"/>
          <w:sz w:val="32"/>
          <w:szCs w:val="32"/>
          <w:lang w:val="en-US" w:eastAsia="zh-CN"/>
        </w:rPr>
        <w:t>27104万元</w:t>
      </w:r>
      <w:r>
        <w:rPr>
          <w:rFonts w:eastAsia="仿宋_GB2312"/>
          <w:sz w:val="32"/>
          <w:szCs w:val="32"/>
        </w:rPr>
        <w:t>，专项债务</w:t>
      </w:r>
      <w:r>
        <w:rPr>
          <w:rFonts w:hint="eastAsia" w:eastAsia="仿宋_GB2312"/>
          <w:sz w:val="32"/>
          <w:szCs w:val="32"/>
          <w:lang w:val="en-US" w:eastAsia="zh-CN"/>
        </w:rPr>
        <w:t>18000万元</w:t>
      </w:r>
      <w:r>
        <w:rPr>
          <w:rFonts w:eastAsia="仿宋_GB2312"/>
          <w:sz w:val="32"/>
          <w:szCs w:val="32"/>
        </w:rPr>
        <w:t>，支付地方政府债券利息</w:t>
      </w:r>
      <w:r>
        <w:rPr>
          <w:rFonts w:hint="eastAsia" w:eastAsia="仿宋_GB2312"/>
          <w:sz w:val="32"/>
          <w:szCs w:val="32"/>
          <w:lang w:val="en-US" w:eastAsia="zh-CN"/>
        </w:rPr>
        <w:t>14996万元</w:t>
      </w:r>
      <w:r>
        <w:rPr>
          <w:rFonts w:eastAsia="仿宋_GB2312"/>
          <w:sz w:val="32"/>
          <w:szCs w:val="32"/>
        </w:rPr>
        <w:t>，其中一般债券利息</w:t>
      </w:r>
      <w:r>
        <w:rPr>
          <w:rFonts w:hint="eastAsia" w:eastAsia="仿宋_GB2312"/>
          <w:sz w:val="32"/>
          <w:szCs w:val="32"/>
          <w:lang w:val="en-US" w:eastAsia="zh-CN"/>
        </w:rPr>
        <w:t>5627万元</w:t>
      </w:r>
      <w:r>
        <w:rPr>
          <w:rFonts w:eastAsia="仿宋_GB2312"/>
          <w:sz w:val="32"/>
          <w:szCs w:val="32"/>
        </w:rPr>
        <w:t>，专项债券利</w:t>
      </w:r>
    </w:p>
    <w:p w14:paraId="25533DAD"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息</w:t>
      </w:r>
      <w:r>
        <w:rPr>
          <w:rFonts w:hint="eastAsia" w:eastAsia="仿宋_GB2312"/>
          <w:sz w:val="32"/>
          <w:szCs w:val="32"/>
          <w:lang w:val="en-US" w:eastAsia="zh-CN"/>
        </w:rPr>
        <w:t>9369万元</w:t>
      </w:r>
      <w:r>
        <w:rPr>
          <w:rFonts w:eastAsia="仿宋_GB2312"/>
          <w:sz w:val="32"/>
          <w:szCs w:val="32"/>
        </w:rPr>
        <w:t>。</w:t>
      </w:r>
    </w:p>
    <w:p w14:paraId="0E629D83">
      <w:pPr>
        <w:spacing w:line="580" w:lineRule="exact"/>
        <w:ind w:firstLine="640" w:firstLineChars="200"/>
        <w:rPr>
          <w:rFonts w:hint="eastAsia" w:eastAsia="黑体"/>
          <w:color w:val="000000"/>
          <w:sz w:val="32"/>
          <w:szCs w:val="32"/>
          <w:lang w:val="en-US" w:eastAsia="zh-CN"/>
        </w:rPr>
      </w:pPr>
      <w:r>
        <w:rPr>
          <w:rFonts w:hint="eastAsia" w:eastAsia="黑体"/>
          <w:color w:val="000000"/>
          <w:sz w:val="32"/>
          <w:szCs w:val="32"/>
          <w:lang w:val="en-US" w:eastAsia="zh-CN"/>
        </w:rPr>
        <w:t>三、“三公”经费支出情况说</w:t>
      </w:r>
    </w:p>
    <w:p w14:paraId="2F05AD4B">
      <w:pPr>
        <w:spacing w:line="580" w:lineRule="exact"/>
        <w:ind w:firstLine="640" w:firstLineChars="200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蓝山县2024年三公经费决算数为1936万元，其中：因公出国（境）费0万元，公务接待费604万元，公务用车购置及运行（维护）费1329万元，较2024年预算数减少602万元。减少原因主要是因为我县严格遵照中央八项规定以及省、市有关管理办法的规定，按照厉行节约的要求，严格控制接待范围和接待标准；加强公务用车的管理，严禁公车私用，从车辆的油耗、维修等方面加强控制，压缩开支，有效降低三公经费的支出。</w:t>
      </w:r>
    </w:p>
    <w:p w14:paraId="54E837CD">
      <w:pP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6E9D25"/>
    <w:multiLevelType w:val="singleLevel"/>
    <w:tmpl w:val="D76E9D2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kMTZlZDMyOTM0MjMwZjdlNzI5MjdkNmEyYzUyZjcifQ=="/>
    <w:docVar w:name="KSO_WPS_MARK_KEY" w:val="dd6830a6-f478-49a1-9dab-c54abebdc590"/>
  </w:docVars>
  <w:rsids>
    <w:rsidRoot w:val="00000000"/>
    <w:rsid w:val="01B36340"/>
    <w:rsid w:val="070E6F20"/>
    <w:rsid w:val="09467E44"/>
    <w:rsid w:val="116E295B"/>
    <w:rsid w:val="1B45708C"/>
    <w:rsid w:val="205C7FDB"/>
    <w:rsid w:val="210C6A10"/>
    <w:rsid w:val="246D6E05"/>
    <w:rsid w:val="26783688"/>
    <w:rsid w:val="3EED2183"/>
    <w:rsid w:val="412076DC"/>
    <w:rsid w:val="41C04AE5"/>
    <w:rsid w:val="4BC91737"/>
    <w:rsid w:val="4D7E5092"/>
    <w:rsid w:val="56004314"/>
    <w:rsid w:val="5C260471"/>
    <w:rsid w:val="600D5D39"/>
    <w:rsid w:val="63DD7A22"/>
    <w:rsid w:val="6A487A45"/>
    <w:rsid w:val="6C715E59"/>
    <w:rsid w:val="6D97E0AA"/>
    <w:rsid w:val="73D9610E"/>
    <w:rsid w:val="76C04532"/>
    <w:rsid w:val="792B48D9"/>
    <w:rsid w:val="79FF4AED"/>
    <w:rsid w:val="7FFD97CF"/>
    <w:rsid w:val="9CFEABFE"/>
    <w:rsid w:val="9F3832BF"/>
    <w:rsid w:val="BFF71922"/>
    <w:rsid w:val="D46E9A98"/>
    <w:rsid w:val="FD7CB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paragraph" w:styleId="4">
    <w:name w:val="heading 3"/>
    <w:basedOn w:val="1"/>
    <w:next w:val="1"/>
    <w:qFormat/>
    <w:uiPriority w:val="0"/>
    <w:pPr>
      <w:ind w:firstLine="200" w:firstLineChars="200"/>
      <w:outlineLvl w:val="2"/>
    </w:pPr>
    <w:rPr>
      <w:rFonts w:eastAsia="楷体_GB2312"/>
      <w:bCs/>
      <w:sz w:val="30"/>
      <w:szCs w:val="3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微软雅黑" w:hAnsi="微软雅黑" w:eastAsia="微软雅黑" w:cs="微软雅黑"/>
      <w:sz w:val="30"/>
      <w:szCs w:val="30"/>
      <w:lang w:val="en-US" w:eastAsia="en-US" w:bidi="ar-SA"/>
    </w:rPr>
  </w:style>
  <w:style w:type="paragraph" w:styleId="5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3827</Words>
  <Characters>4511</Characters>
  <Lines>0</Lines>
  <Paragraphs>0</Paragraphs>
  <TotalTime>140</TotalTime>
  <ScaleCrop>false</ScaleCrop>
  <LinksUpToDate>false</LinksUpToDate>
  <CharactersWithSpaces>4524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2023-06-29T19:05:00Z</dcterms:created>
  <dc:creator>hp</dc:creator>
  <cp:lastModifiedBy>kylin</cp:lastModifiedBy>
  <dcterms:modified xsi:type="dcterms:W3CDTF">2026-10-08T15:08:37Z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2B80E45FDB73CFF67541C76A7E3C22F0_43</vt:lpwstr>
  </property>
</Properties>
</file>