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7F879">
      <w:pPr>
        <w:pStyle w:val="14"/>
        <w:jc w:val="both"/>
        <w:rPr>
          <w:rFonts w:hint="eastAsia" w:hAnsi="黑体" w:eastAsia="黑体"/>
          <w:sz w:val="36"/>
          <w:szCs w:val="36"/>
          <w:lang w:eastAsia="zh-CN"/>
        </w:rPr>
      </w:pPr>
    </w:p>
    <w:p w14:paraId="26CB4FA3">
      <w:pPr>
        <w:pStyle w:val="14"/>
        <w:jc w:val="center"/>
        <w:rPr>
          <w:rFonts w:ascii="Times New Roman" w:hAnsi="Times New Roman" w:cs="Times New Roman"/>
          <w:sz w:val="56"/>
          <w:szCs w:val="56"/>
        </w:rPr>
      </w:pPr>
    </w:p>
    <w:p w14:paraId="62E4F0CD">
      <w:pPr>
        <w:pStyle w:val="14"/>
        <w:jc w:val="center"/>
        <w:rPr>
          <w:rFonts w:ascii="Times New Roman" w:hAnsi="Times New Roman" w:cs="Times New Roman"/>
          <w:sz w:val="84"/>
          <w:szCs w:val="84"/>
        </w:rPr>
      </w:pPr>
    </w:p>
    <w:p w14:paraId="4A96D586">
      <w:pPr>
        <w:pStyle w:val="14"/>
        <w:jc w:val="center"/>
        <w:rPr>
          <w:rFonts w:ascii="Times New Roman" w:hAnsi="Times New Roman" w:cs="Times New Roman"/>
          <w:sz w:val="84"/>
          <w:szCs w:val="84"/>
        </w:rPr>
      </w:pPr>
    </w:p>
    <w:p w14:paraId="2BA07B70">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133C998">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蓝山县商业与物资企业改制服务办公室</w:t>
      </w:r>
      <w:r>
        <w:rPr>
          <w:rFonts w:ascii="Times New Roman" w:hAnsi="Times New Roman" w:eastAsia="方正小标宋简体" w:cs="Times New Roman"/>
          <w:sz w:val="72"/>
          <w:szCs w:val="72"/>
        </w:rPr>
        <w:t>部门决算</w:t>
      </w:r>
    </w:p>
    <w:p w14:paraId="6821BFC3">
      <w:pPr>
        <w:pStyle w:val="14"/>
        <w:jc w:val="center"/>
        <w:rPr>
          <w:rFonts w:ascii="Times New Roman" w:hAnsi="Times New Roman" w:eastAsia="方正小标宋_GBK" w:cs="Times New Roman"/>
          <w:sz w:val="56"/>
          <w:szCs w:val="56"/>
        </w:rPr>
      </w:pPr>
    </w:p>
    <w:p w14:paraId="33911E4A">
      <w:pPr>
        <w:pStyle w:val="14"/>
        <w:jc w:val="center"/>
        <w:rPr>
          <w:rFonts w:ascii="Times New Roman" w:hAnsi="Times New Roman" w:cs="Times New Roman"/>
          <w:sz w:val="56"/>
          <w:szCs w:val="56"/>
        </w:rPr>
      </w:pPr>
    </w:p>
    <w:p w14:paraId="4687CA26">
      <w:pPr>
        <w:pStyle w:val="14"/>
        <w:rPr>
          <w:rFonts w:ascii="Times New Roman" w:hAnsi="Times New Roman" w:cs="Times New Roman"/>
          <w:sz w:val="56"/>
          <w:szCs w:val="56"/>
        </w:rPr>
      </w:pPr>
    </w:p>
    <w:p w14:paraId="4A4E03EF">
      <w:pPr>
        <w:pStyle w:val="14"/>
        <w:jc w:val="center"/>
        <w:rPr>
          <w:rFonts w:ascii="Times New Roman" w:hAnsi="Times New Roman" w:cs="Times New Roman"/>
          <w:sz w:val="32"/>
          <w:szCs w:val="32"/>
        </w:rPr>
      </w:pPr>
    </w:p>
    <w:p w14:paraId="6B05B765">
      <w:pPr>
        <w:pStyle w:val="14"/>
        <w:jc w:val="center"/>
        <w:rPr>
          <w:rFonts w:ascii="Times New Roman" w:hAnsi="Times New Roman" w:cs="Times New Roman"/>
          <w:sz w:val="32"/>
          <w:szCs w:val="32"/>
        </w:rPr>
      </w:pPr>
    </w:p>
    <w:p w14:paraId="0F2E0EF3">
      <w:pPr>
        <w:pStyle w:val="14"/>
        <w:jc w:val="center"/>
        <w:rPr>
          <w:rFonts w:ascii="Times New Roman" w:hAnsi="Times New Roman" w:cs="Times New Roman"/>
          <w:sz w:val="32"/>
          <w:szCs w:val="32"/>
        </w:rPr>
      </w:pPr>
    </w:p>
    <w:p w14:paraId="06C55C55">
      <w:pPr>
        <w:pStyle w:val="14"/>
        <w:jc w:val="center"/>
        <w:rPr>
          <w:rFonts w:ascii="Times New Roman" w:hAnsi="Times New Roman" w:cs="Times New Roman"/>
          <w:sz w:val="32"/>
          <w:szCs w:val="32"/>
        </w:rPr>
      </w:pPr>
    </w:p>
    <w:p w14:paraId="07B69C70">
      <w:pPr>
        <w:pStyle w:val="14"/>
        <w:jc w:val="center"/>
        <w:rPr>
          <w:rFonts w:ascii="Times New Roman" w:hAnsi="Times New Roman" w:cs="Times New Roman"/>
          <w:sz w:val="32"/>
          <w:szCs w:val="32"/>
        </w:rPr>
      </w:pPr>
    </w:p>
    <w:p w14:paraId="0E7C07C9">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43E9139">
      <w:pPr>
        <w:pStyle w:val="14"/>
        <w:spacing w:line="600" w:lineRule="exact"/>
        <w:jc w:val="center"/>
        <w:rPr>
          <w:rFonts w:ascii="Times New Roman" w:hAnsi="Times New Roman" w:cs="Times New Roman"/>
          <w:b/>
          <w:sz w:val="36"/>
          <w:szCs w:val="28"/>
        </w:rPr>
      </w:pPr>
    </w:p>
    <w:p w14:paraId="01AB8BE5">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蓝山县商业与物资企业改制服务办公室</w:t>
      </w:r>
      <w:bookmarkStart w:id="3" w:name="_GoBack"/>
      <w:bookmarkEnd w:id="3"/>
      <w:r>
        <w:rPr>
          <w:rFonts w:ascii="Times New Roman" w:hAnsi="Times New Roman" w:cs="Times New Roman"/>
          <w:bCs/>
          <w:sz w:val="32"/>
          <w:szCs w:val="32"/>
        </w:rPr>
        <w:t>概况</w:t>
      </w:r>
    </w:p>
    <w:p w14:paraId="22178D0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3731B9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A8F5DCC">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2F75C3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4A7FB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678385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6B3EAC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48C554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F67683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0ECF8E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78F457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E56358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917F36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D56F5E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6506B6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D76DF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B83DC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9C8CAC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DC4A32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8F94C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A50AC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ED2C3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3EAD6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B1F39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ADFAC0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58F55D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CDB89B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D16103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ECC18C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2389A2C">
      <w:pPr>
        <w:pStyle w:val="14"/>
        <w:spacing w:line="600" w:lineRule="exact"/>
        <w:rPr>
          <w:rFonts w:ascii="Times New Roman" w:hAnsi="Times New Roman" w:cs="Times New Roman"/>
          <w:bCs/>
          <w:sz w:val="28"/>
          <w:szCs w:val="28"/>
        </w:rPr>
      </w:pPr>
    </w:p>
    <w:p w14:paraId="7E9163FE">
      <w:pPr>
        <w:jc w:val="center"/>
        <w:rPr>
          <w:rFonts w:ascii="Times New Roman" w:hAnsi="Times New Roman" w:cs="Times New Roman"/>
          <w:sz w:val="72"/>
          <w:szCs w:val="72"/>
        </w:rPr>
      </w:pPr>
    </w:p>
    <w:p w14:paraId="7D30A121">
      <w:pPr>
        <w:jc w:val="center"/>
        <w:rPr>
          <w:rFonts w:ascii="Times New Roman" w:hAnsi="Times New Roman" w:cs="Times New Roman"/>
          <w:sz w:val="72"/>
          <w:szCs w:val="72"/>
        </w:rPr>
      </w:pPr>
    </w:p>
    <w:p w14:paraId="74F28A9E">
      <w:pPr>
        <w:jc w:val="center"/>
        <w:rPr>
          <w:rFonts w:ascii="Times New Roman" w:hAnsi="Times New Roman" w:cs="Times New Roman"/>
          <w:sz w:val="72"/>
          <w:szCs w:val="72"/>
        </w:rPr>
      </w:pPr>
    </w:p>
    <w:p w14:paraId="6147C344">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0373A21">
      <w:pPr>
        <w:rPr>
          <w:rFonts w:ascii="Times New Roman" w:hAnsi="Times New Roman" w:eastAsia="方正小标宋_GBK" w:cs="Times New Roman"/>
          <w:sz w:val="72"/>
          <w:szCs w:val="72"/>
        </w:rPr>
      </w:pPr>
    </w:p>
    <w:p w14:paraId="7D2164D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556CE13">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蓝山县蓝山县商业与物资企业改制服务办公室</w:t>
      </w:r>
      <w:r>
        <w:rPr>
          <w:rFonts w:ascii="Times New Roman" w:hAnsi="Times New Roman" w:eastAsia="方正小标宋_GBK" w:cs="Times New Roman"/>
          <w:sz w:val="52"/>
          <w:szCs w:val="52"/>
        </w:rPr>
        <w:t>概况</w:t>
      </w:r>
    </w:p>
    <w:p w14:paraId="3B0128B6">
      <w:pPr>
        <w:pStyle w:val="4"/>
        <w:ind w:left="0" w:leftChars="0" w:firstLine="0" w:firstLineChars="0"/>
        <w:rPr>
          <w:rFonts w:ascii="Times New Roman" w:hAnsi="Times New Roman" w:cs="Times New Roman"/>
        </w:rPr>
      </w:pPr>
    </w:p>
    <w:p w14:paraId="0DB0E845">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5492CA5">
      <w:pPr>
        <w:tabs>
          <w:tab w:val="left" w:pos="180"/>
        </w:tabs>
        <w:spacing w:line="600" w:lineRule="exact"/>
        <w:ind w:firstLine="640" w:firstLineChars="200"/>
        <w:rPr>
          <w:rFonts w:eastAsia="仿宋_GB2312"/>
          <w:sz w:val="32"/>
          <w:szCs w:val="32"/>
          <w:highlight w:val="none"/>
        </w:rPr>
      </w:pPr>
      <w:r>
        <w:rPr>
          <w:rFonts w:hint="eastAsia" w:eastAsia="仿宋_GB2312"/>
          <w:sz w:val="32"/>
          <w:szCs w:val="32"/>
          <w:highlight w:val="none"/>
          <w:lang w:eastAsia="zh-CN"/>
        </w:rPr>
        <w:t>（</w:t>
      </w:r>
      <w:r>
        <w:rPr>
          <w:rFonts w:hint="eastAsia" w:eastAsia="仿宋_GB2312"/>
          <w:sz w:val="32"/>
          <w:szCs w:val="32"/>
          <w:highlight w:val="none"/>
          <w:lang w:val="en-US" w:eastAsia="zh-CN"/>
        </w:rPr>
        <w:t>一</w:t>
      </w:r>
      <w:r>
        <w:rPr>
          <w:rFonts w:hint="eastAsia" w:eastAsia="仿宋_GB2312"/>
          <w:sz w:val="32"/>
          <w:szCs w:val="32"/>
          <w:highlight w:val="none"/>
          <w:lang w:eastAsia="zh-CN"/>
        </w:rPr>
        <w:t>）</w:t>
      </w:r>
      <w:r>
        <w:rPr>
          <w:rFonts w:hint="eastAsia" w:eastAsia="仿宋_GB2312"/>
          <w:sz w:val="32"/>
          <w:szCs w:val="32"/>
          <w:highlight w:val="none"/>
        </w:rPr>
        <w:t>负责本部门离退休人员的管理和服务工作。</w:t>
      </w:r>
    </w:p>
    <w:p w14:paraId="4C375DA4">
      <w:pPr>
        <w:spacing w:line="600" w:lineRule="exact"/>
        <w:ind w:firstLine="640" w:firstLineChars="200"/>
        <w:rPr>
          <w:rFonts w:eastAsia="仿宋_GB2312"/>
          <w:sz w:val="32"/>
          <w:szCs w:val="32"/>
          <w:highlight w:val="none"/>
        </w:rPr>
      </w:pPr>
      <w:r>
        <w:rPr>
          <w:rFonts w:hint="eastAsia" w:eastAsia="仿宋_GB2312"/>
          <w:sz w:val="32"/>
          <w:szCs w:val="32"/>
          <w:highlight w:val="none"/>
          <w:lang w:eastAsia="zh-CN"/>
        </w:rPr>
        <w:t>（</w:t>
      </w:r>
      <w:r>
        <w:rPr>
          <w:rFonts w:hint="eastAsia" w:eastAsia="仿宋_GB2312"/>
          <w:sz w:val="32"/>
          <w:szCs w:val="32"/>
          <w:highlight w:val="none"/>
          <w:lang w:val="en-US" w:eastAsia="zh-CN"/>
        </w:rPr>
        <w:t>二</w:t>
      </w:r>
      <w:r>
        <w:rPr>
          <w:rFonts w:hint="eastAsia" w:eastAsia="仿宋_GB2312"/>
          <w:sz w:val="32"/>
          <w:szCs w:val="32"/>
          <w:highlight w:val="none"/>
          <w:lang w:eastAsia="zh-CN"/>
        </w:rPr>
        <w:t>）</w:t>
      </w:r>
      <w:r>
        <w:rPr>
          <w:rFonts w:hint="eastAsia" w:eastAsia="仿宋_GB2312"/>
          <w:sz w:val="32"/>
          <w:szCs w:val="32"/>
          <w:highlight w:val="none"/>
        </w:rPr>
        <w:t>按照县委县政府的要求做好商业企业改革改制后续工作。</w:t>
      </w:r>
    </w:p>
    <w:p w14:paraId="096C2DE0">
      <w:pPr>
        <w:spacing w:line="600" w:lineRule="exact"/>
        <w:ind w:firstLine="640" w:firstLineChars="200"/>
        <w:rPr>
          <w:rFonts w:eastAsia="仿宋_GB2312"/>
          <w:sz w:val="32"/>
          <w:szCs w:val="32"/>
          <w:highlight w:val="none"/>
        </w:rPr>
      </w:pPr>
      <w:r>
        <w:rPr>
          <w:rFonts w:hint="eastAsia" w:eastAsia="仿宋_GB2312"/>
          <w:sz w:val="32"/>
          <w:szCs w:val="32"/>
          <w:highlight w:val="none"/>
          <w:lang w:eastAsia="zh-CN"/>
        </w:rPr>
        <w:t>（</w:t>
      </w:r>
      <w:r>
        <w:rPr>
          <w:rFonts w:hint="eastAsia" w:eastAsia="仿宋_GB2312"/>
          <w:sz w:val="32"/>
          <w:szCs w:val="32"/>
          <w:highlight w:val="none"/>
          <w:lang w:val="en-US" w:eastAsia="zh-CN"/>
        </w:rPr>
        <w:t>三</w:t>
      </w:r>
      <w:r>
        <w:rPr>
          <w:rFonts w:hint="eastAsia" w:eastAsia="仿宋_GB2312"/>
          <w:sz w:val="32"/>
          <w:szCs w:val="32"/>
          <w:highlight w:val="none"/>
          <w:lang w:eastAsia="zh-CN"/>
        </w:rPr>
        <w:t>）</w:t>
      </w:r>
      <w:r>
        <w:rPr>
          <w:rFonts w:hint="eastAsia" w:eastAsia="仿宋_GB2312"/>
          <w:sz w:val="32"/>
          <w:szCs w:val="32"/>
          <w:highlight w:val="none"/>
        </w:rPr>
        <w:t>负责本部门国有资产管理。</w:t>
      </w:r>
    </w:p>
    <w:p w14:paraId="0C231CA9">
      <w:pPr>
        <w:widowControl/>
        <w:spacing w:line="600" w:lineRule="exact"/>
        <w:ind w:firstLine="640" w:firstLineChars="200"/>
        <w:rPr>
          <w:rFonts w:hint="eastAsia" w:eastAsia="仿宋_GB2312"/>
          <w:sz w:val="32"/>
          <w:szCs w:val="32"/>
          <w:highlight w:val="none"/>
        </w:rPr>
      </w:pPr>
      <w:r>
        <w:rPr>
          <w:rFonts w:hint="eastAsia" w:eastAsia="仿宋_GB2312"/>
          <w:sz w:val="32"/>
          <w:szCs w:val="32"/>
          <w:highlight w:val="none"/>
          <w:lang w:eastAsia="zh-CN"/>
        </w:rPr>
        <w:t>（</w:t>
      </w:r>
      <w:r>
        <w:rPr>
          <w:rFonts w:hint="eastAsia" w:eastAsia="仿宋_GB2312"/>
          <w:sz w:val="32"/>
          <w:szCs w:val="32"/>
          <w:highlight w:val="none"/>
          <w:lang w:val="en-US" w:eastAsia="zh-CN"/>
        </w:rPr>
        <w:t>四</w:t>
      </w:r>
      <w:r>
        <w:rPr>
          <w:rFonts w:hint="eastAsia" w:eastAsia="仿宋_GB2312"/>
          <w:sz w:val="32"/>
          <w:szCs w:val="32"/>
          <w:highlight w:val="none"/>
          <w:lang w:eastAsia="zh-CN"/>
        </w:rPr>
        <w:t>）</w:t>
      </w:r>
      <w:r>
        <w:rPr>
          <w:rFonts w:hint="eastAsia" w:eastAsia="仿宋_GB2312"/>
          <w:sz w:val="32"/>
          <w:szCs w:val="32"/>
          <w:highlight w:val="none"/>
        </w:rPr>
        <w:t>承办县委、县人民政府交办的其他工作事项。</w:t>
      </w:r>
    </w:p>
    <w:p w14:paraId="462C455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FDBEC64">
      <w:pPr>
        <w:snapToGrid w:val="0"/>
        <w:spacing w:line="360" w:lineRule="auto"/>
        <w:ind w:firstLine="640" w:firstLineChars="200"/>
        <w:rPr>
          <w:rFonts w:hint="eastAsia" w:ascii="仿宋_GB2312" w:hAnsi="仿宋_GB2312" w:eastAsia="仿宋_GB2312" w:cs="仿宋_GB2312"/>
          <w:sz w:val="32"/>
          <w:szCs w:val="32"/>
        </w:rPr>
      </w:pPr>
      <w:r>
        <w:rPr>
          <w:rFonts w:ascii="Times New Roman" w:hAnsi="Times New Roman" w:eastAsia="仿宋_GB2312" w:cs="Times New Roman"/>
          <w:bCs/>
          <w:kern w:val="0"/>
          <w:sz w:val="32"/>
          <w:szCs w:val="32"/>
        </w:rPr>
        <w:t>（一）内设机构设置。</w:t>
      </w:r>
      <w:r>
        <w:rPr>
          <w:rFonts w:hint="eastAsia" w:eastAsia="仿宋_GB2312"/>
          <w:sz w:val="32"/>
          <w:szCs w:val="32"/>
          <w:highlight w:val="none"/>
        </w:rPr>
        <w:t>蓝山县商业与物资企业改制服务办公室是参照公务员管理的独立核算事业单位，是县科工局的二级机构。内设综合股、财务股、国有资产经营管理股、信访维稳股、改革股等股室。</w:t>
      </w:r>
      <w:r>
        <w:rPr>
          <w:rFonts w:hint="eastAsia" w:ascii="仿宋" w:hAnsi="仿宋" w:eastAsia="仿宋" w:cs="仿宋"/>
          <w:bCs/>
          <w:sz w:val="32"/>
          <w:szCs w:val="32"/>
        </w:rPr>
        <w:t>单位编制数16人，</w:t>
      </w:r>
      <w:r>
        <w:rPr>
          <w:rFonts w:hint="eastAsia" w:ascii="仿宋" w:hAnsi="仿宋" w:eastAsia="仿宋" w:cs="仿宋"/>
          <w:bCs/>
          <w:sz w:val="32"/>
          <w:szCs w:val="32"/>
          <w:lang w:val="en-US" w:eastAsia="zh-CN"/>
        </w:rPr>
        <w:t>2025年度</w:t>
      </w:r>
      <w:r>
        <w:rPr>
          <w:rFonts w:hint="eastAsia" w:ascii="仿宋" w:hAnsi="仿宋" w:eastAsia="仿宋" w:cs="仿宋"/>
          <w:bCs/>
          <w:sz w:val="32"/>
          <w:szCs w:val="32"/>
        </w:rPr>
        <w:t>单位实有在职人员1</w:t>
      </w:r>
      <w:r>
        <w:rPr>
          <w:rFonts w:hint="eastAsia" w:ascii="仿宋" w:hAnsi="仿宋" w:eastAsia="仿宋" w:cs="仿宋"/>
          <w:bCs/>
          <w:sz w:val="32"/>
          <w:szCs w:val="32"/>
          <w:lang w:val="en-US" w:eastAsia="zh-CN"/>
        </w:rPr>
        <w:t>1</w:t>
      </w:r>
      <w:r>
        <w:rPr>
          <w:rFonts w:hint="eastAsia" w:ascii="仿宋" w:hAnsi="仿宋" w:eastAsia="仿宋" w:cs="仿宋"/>
          <w:bCs/>
          <w:sz w:val="32"/>
          <w:szCs w:val="32"/>
        </w:rPr>
        <w:t>人，退休人员2</w:t>
      </w:r>
      <w:r>
        <w:rPr>
          <w:rFonts w:hint="eastAsia" w:ascii="仿宋" w:hAnsi="仿宋" w:eastAsia="仿宋" w:cs="仿宋"/>
          <w:bCs/>
          <w:sz w:val="32"/>
          <w:szCs w:val="32"/>
          <w:lang w:val="en-US" w:eastAsia="zh-CN"/>
        </w:rPr>
        <w:t>8</w:t>
      </w:r>
      <w:r>
        <w:rPr>
          <w:rFonts w:hint="eastAsia" w:ascii="仿宋" w:hAnsi="仿宋" w:eastAsia="仿宋" w:cs="仿宋"/>
          <w:bCs/>
          <w:sz w:val="32"/>
          <w:szCs w:val="32"/>
        </w:rPr>
        <w:t>人，遗属抚养人员3人，公车改革后无车辆。</w:t>
      </w:r>
    </w:p>
    <w:p w14:paraId="159864F4">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eastAsia="仿宋_GB2312"/>
          <w:sz w:val="32"/>
          <w:szCs w:val="32"/>
          <w:highlight w:val="none"/>
        </w:rPr>
        <w:t>蓝山县商业与物资企业改制服务办公室</w:t>
      </w:r>
      <w:r>
        <w:rPr>
          <w:rFonts w:eastAsia="仿宋_GB2312"/>
          <w:sz w:val="32"/>
          <w:szCs w:val="32"/>
          <w:highlight w:val="none"/>
        </w:rPr>
        <w:t>部门</w:t>
      </w:r>
      <w:r>
        <w:rPr>
          <w:rFonts w:hint="eastAsia" w:eastAsia="仿宋_GB2312"/>
          <w:sz w:val="32"/>
          <w:szCs w:val="32"/>
          <w:highlight w:val="none"/>
        </w:rPr>
        <w:t>只有</w:t>
      </w:r>
      <w:r>
        <w:rPr>
          <w:rFonts w:eastAsia="仿宋_GB2312"/>
          <w:sz w:val="32"/>
          <w:szCs w:val="32"/>
          <w:highlight w:val="none"/>
        </w:rPr>
        <w:t>本级</w:t>
      </w:r>
      <w:r>
        <w:rPr>
          <w:rFonts w:hint="eastAsia" w:eastAsia="仿宋_GB2312"/>
          <w:sz w:val="32"/>
          <w:szCs w:val="32"/>
          <w:highlight w:val="none"/>
        </w:rPr>
        <w:t>，</w:t>
      </w:r>
      <w:r>
        <w:rPr>
          <w:rFonts w:eastAsia="仿宋_GB2312"/>
          <w:sz w:val="32"/>
          <w:szCs w:val="32"/>
          <w:highlight w:val="none"/>
        </w:rPr>
        <w:t>没有其他预算单位</w:t>
      </w:r>
      <w:r>
        <w:rPr>
          <w:rFonts w:hint="eastAsia" w:eastAsia="仿宋_GB2312"/>
          <w:sz w:val="32"/>
          <w:szCs w:val="32"/>
          <w:highlight w:val="none"/>
        </w:rPr>
        <w:t>。</w:t>
      </w:r>
      <w:r>
        <w:rPr>
          <w:rFonts w:hint="eastAsia" w:ascii="仿宋_GB2312" w:hAnsi="仿宋" w:eastAsia="仿宋_GB2312"/>
          <w:sz w:val="32"/>
          <w:szCs w:val="32"/>
          <w:highlight w:val="none"/>
        </w:rPr>
        <w:t>因此本部门预算仅含本级预算。</w:t>
      </w:r>
    </w:p>
    <w:p w14:paraId="556EA75B">
      <w:pPr>
        <w:jc w:val="left"/>
        <w:rPr>
          <w:rFonts w:ascii="Times New Roman" w:hAnsi="Times New Roman" w:eastAsia="仿宋_GB2312" w:cs="Times New Roman"/>
          <w:sz w:val="28"/>
          <w:szCs w:val="32"/>
        </w:rPr>
      </w:pPr>
    </w:p>
    <w:p w14:paraId="58B3C7ED">
      <w:pPr>
        <w:jc w:val="center"/>
        <w:rPr>
          <w:rFonts w:ascii="Times New Roman" w:hAnsi="Times New Roman" w:eastAsia="黑体" w:cs="Times New Roman"/>
          <w:sz w:val="28"/>
          <w:szCs w:val="28"/>
        </w:rPr>
      </w:pPr>
    </w:p>
    <w:p w14:paraId="7CF0F8F7">
      <w:pPr>
        <w:jc w:val="center"/>
        <w:rPr>
          <w:rFonts w:ascii="Times New Roman" w:hAnsi="Times New Roman" w:eastAsia="黑体" w:cs="Times New Roman"/>
          <w:sz w:val="28"/>
          <w:szCs w:val="28"/>
        </w:rPr>
      </w:pPr>
    </w:p>
    <w:p w14:paraId="2A6E4CF8">
      <w:pPr>
        <w:jc w:val="center"/>
        <w:rPr>
          <w:rFonts w:ascii="Times New Roman" w:hAnsi="Times New Roman" w:eastAsia="黑体" w:cs="Times New Roman"/>
          <w:sz w:val="28"/>
          <w:szCs w:val="28"/>
        </w:rPr>
      </w:pPr>
    </w:p>
    <w:p w14:paraId="15EFF58C">
      <w:pPr>
        <w:jc w:val="center"/>
        <w:rPr>
          <w:rFonts w:ascii="Times New Roman" w:hAnsi="Times New Roman" w:eastAsia="黑体" w:cs="Times New Roman"/>
          <w:sz w:val="28"/>
          <w:szCs w:val="28"/>
        </w:rPr>
      </w:pPr>
    </w:p>
    <w:p w14:paraId="4DA2A73F">
      <w:pPr>
        <w:jc w:val="center"/>
        <w:rPr>
          <w:rFonts w:ascii="Times New Roman" w:hAnsi="Times New Roman" w:eastAsia="黑体" w:cs="Times New Roman"/>
          <w:sz w:val="28"/>
          <w:szCs w:val="28"/>
        </w:rPr>
      </w:pPr>
    </w:p>
    <w:p w14:paraId="441D16E6">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364BDA0">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DC9AB1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D963E0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74D2BB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蓝山县商业与物资企业改制服务办公室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09861AC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8FB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D54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DA8CC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ED2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1B42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5A4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4C7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D0AA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6C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C3E85C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0FB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4CA8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7E0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460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0528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8DD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25FEE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1D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658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FA2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191.62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D0E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95C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FFB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0.45</w:t>
            </w:r>
          </w:p>
        </w:tc>
      </w:tr>
      <w:tr w14:paraId="4AAD55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928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D29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1C5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365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DC0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4E3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146.21</w:t>
            </w:r>
          </w:p>
        </w:tc>
      </w:tr>
      <w:tr w14:paraId="02C020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BC9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14F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EBF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FB30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A67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4169">
            <w:pPr>
              <w:jc w:val="right"/>
              <w:rPr>
                <w:rFonts w:ascii="Times New Roman" w:hAnsi="Times New Roman" w:eastAsia="仿宋_GB2312" w:cs="Times New Roman"/>
                <w:color w:val="000000"/>
                <w:sz w:val="22"/>
              </w:rPr>
            </w:pPr>
          </w:p>
        </w:tc>
      </w:tr>
      <w:tr w14:paraId="34E14F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A48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CFA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F3E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18D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B02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36AE">
            <w:pPr>
              <w:jc w:val="right"/>
              <w:rPr>
                <w:rFonts w:ascii="Times New Roman" w:hAnsi="Times New Roman" w:eastAsia="仿宋_GB2312" w:cs="Times New Roman"/>
                <w:color w:val="000000"/>
                <w:sz w:val="22"/>
              </w:rPr>
            </w:pPr>
          </w:p>
        </w:tc>
      </w:tr>
      <w:tr w14:paraId="48537D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C61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D1F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CC9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9B8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A20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35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38.27</w:t>
            </w:r>
          </w:p>
        </w:tc>
      </w:tr>
      <w:tr w14:paraId="49D7F4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4C5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EC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502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F6A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493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3A6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7.79</w:t>
            </w:r>
          </w:p>
        </w:tc>
      </w:tr>
      <w:tr w14:paraId="3E38764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B62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24C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A39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17A0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E7D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AF31">
            <w:pPr>
              <w:jc w:val="right"/>
              <w:rPr>
                <w:rFonts w:ascii="Times New Roman" w:hAnsi="Times New Roman" w:eastAsia="仿宋_GB2312" w:cs="Times New Roman"/>
                <w:color w:val="000000"/>
                <w:sz w:val="22"/>
              </w:rPr>
            </w:pPr>
          </w:p>
        </w:tc>
      </w:tr>
      <w:tr w14:paraId="253D9D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3258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A92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E3FE">
            <w:pPr>
              <w:ind w:firstLine="220" w:firstLineChars="100"/>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3BD1A">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A38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3E75">
            <w:pPr>
              <w:jc w:val="center"/>
              <w:rPr>
                <w:rFonts w:ascii="Times New Roman" w:hAnsi="Times New Roman" w:eastAsia="仿宋_GB2312" w:cs="Times New Roman"/>
                <w:color w:val="000000"/>
                <w:sz w:val="22"/>
              </w:rPr>
            </w:pPr>
          </w:p>
        </w:tc>
      </w:tr>
      <w:tr w14:paraId="5E55EC4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BA8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2DB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9D75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14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26E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7789">
            <w:pPr>
              <w:rPr>
                <w:rFonts w:ascii="Times New Roman" w:hAnsi="Times New Roman" w:eastAsia="仿宋_GB2312" w:cs="Times New Roman"/>
                <w:b/>
                <w:color w:val="000000"/>
                <w:sz w:val="22"/>
              </w:rPr>
            </w:pPr>
          </w:p>
        </w:tc>
      </w:tr>
      <w:tr w14:paraId="5F34E8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F99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2E4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1EB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8E6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D26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93EE">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192.72</w:t>
            </w:r>
          </w:p>
        </w:tc>
      </w:tr>
      <w:tr w14:paraId="263DA3A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32D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002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B7C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448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B60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C18B">
            <w:pPr>
              <w:rPr>
                <w:rFonts w:ascii="Times New Roman" w:hAnsi="Times New Roman" w:eastAsia="仿宋_GB2312" w:cs="Times New Roman"/>
                <w:color w:val="000000"/>
                <w:sz w:val="22"/>
              </w:rPr>
            </w:pPr>
          </w:p>
        </w:tc>
      </w:tr>
      <w:tr w14:paraId="5805C4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BD8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E61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3C2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B2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4C0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67D8">
            <w:pPr>
              <w:rPr>
                <w:rFonts w:ascii="Times New Roman" w:hAnsi="Times New Roman" w:eastAsia="仿宋_GB2312" w:cs="Times New Roman"/>
                <w:color w:val="000000"/>
                <w:sz w:val="22"/>
              </w:rPr>
            </w:pPr>
          </w:p>
        </w:tc>
      </w:tr>
      <w:tr w14:paraId="39A1277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4E85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082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B8A3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192.72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F599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DFB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6660">
            <w:pP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192.72</w:t>
            </w:r>
          </w:p>
        </w:tc>
      </w:tr>
    </w:tbl>
    <w:p w14:paraId="2173FFD2">
      <w:pPr>
        <w:widowControl/>
        <w:jc w:val="left"/>
        <w:textAlignment w:val="center"/>
        <w:rPr>
          <w:rFonts w:ascii="Times New Roman" w:hAnsi="Times New Roman" w:eastAsia="宋体" w:cs="Times New Roman"/>
          <w:color w:val="000000"/>
          <w:kern w:val="0"/>
          <w:sz w:val="24"/>
          <w:szCs w:val="24"/>
          <w:lang w:bidi="ar"/>
        </w:rPr>
      </w:pPr>
    </w:p>
    <w:p w14:paraId="18080B5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89EC3B2">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C15862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3B909F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88D2B3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918DD97">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rPr>
        <w:t>蓝山县商业与物资企业改制服务办公室</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236"/>
        <w:gridCol w:w="2535"/>
        <w:gridCol w:w="1055"/>
        <w:gridCol w:w="1640"/>
        <w:gridCol w:w="1640"/>
        <w:gridCol w:w="1640"/>
        <w:gridCol w:w="1640"/>
        <w:gridCol w:w="1897"/>
        <w:gridCol w:w="1383"/>
      </w:tblGrid>
      <w:tr w14:paraId="7ABFDF99">
        <w:tblPrEx>
          <w:tblCellMar>
            <w:top w:w="0" w:type="dxa"/>
            <w:left w:w="0" w:type="dxa"/>
            <w:bottom w:w="0" w:type="dxa"/>
            <w:right w:w="0" w:type="dxa"/>
          </w:tblCellMar>
        </w:tblPrEx>
        <w:trPr>
          <w:trHeight w:val="450" w:hRule="atLeast"/>
          <w:jc w:val="center"/>
        </w:trPr>
        <w:tc>
          <w:tcPr>
            <w:tcW w:w="377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0796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531B5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2D3D6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FADA1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DEB5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D411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4FC9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C2982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2DA928B">
        <w:tblPrEx>
          <w:tblCellMar>
            <w:top w:w="0" w:type="dxa"/>
            <w:left w:w="0" w:type="dxa"/>
            <w:bottom w:w="0" w:type="dxa"/>
            <w:right w:w="0" w:type="dxa"/>
          </w:tblCellMar>
        </w:tblPrEx>
        <w:trPr>
          <w:trHeight w:val="334" w:hRule="exact"/>
          <w:jc w:val="center"/>
        </w:trPr>
        <w:tc>
          <w:tcPr>
            <w:tcW w:w="12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269C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53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18A7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55" w:type="dxa"/>
            <w:vMerge w:val="continue"/>
            <w:tcBorders>
              <w:top w:val="single" w:color="auto" w:sz="4" w:space="0"/>
              <w:left w:val="single" w:color="auto" w:sz="4" w:space="0"/>
              <w:bottom w:val="single" w:color="auto" w:sz="4" w:space="0"/>
              <w:right w:val="single" w:color="auto" w:sz="4" w:space="0"/>
            </w:tcBorders>
            <w:vAlign w:val="center"/>
          </w:tcPr>
          <w:p w14:paraId="3392BBA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55206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C15DD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FF0CC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5C8F8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62B21A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6CD5001">
            <w:pPr>
              <w:rPr>
                <w:rFonts w:ascii="Times New Roman" w:hAnsi="Times New Roman" w:eastAsia="仿宋_GB2312" w:cs="Times New Roman"/>
                <w:sz w:val="24"/>
                <w:szCs w:val="24"/>
              </w:rPr>
            </w:pPr>
          </w:p>
        </w:tc>
      </w:tr>
      <w:tr w14:paraId="4F6D393F">
        <w:tblPrEx>
          <w:tblCellMar>
            <w:top w:w="0" w:type="dxa"/>
            <w:left w:w="0" w:type="dxa"/>
            <w:bottom w:w="0" w:type="dxa"/>
            <w:right w:w="0" w:type="dxa"/>
          </w:tblCellMar>
        </w:tblPrEx>
        <w:trPr>
          <w:trHeight w:val="312" w:hRule="atLeast"/>
          <w:jc w:val="center"/>
        </w:trPr>
        <w:tc>
          <w:tcPr>
            <w:tcW w:w="1236" w:type="dxa"/>
            <w:vMerge w:val="continue"/>
            <w:tcBorders>
              <w:top w:val="single" w:color="auto" w:sz="4" w:space="0"/>
              <w:left w:val="single" w:color="auto" w:sz="4" w:space="0"/>
              <w:bottom w:val="single" w:color="auto" w:sz="4" w:space="0"/>
              <w:right w:val="single" w:color="auto" w:sz="4" w:space="0"/>
            </w:tcBorders>
            <w:vAlign w:val="center"/>
          </w:tcPr>
          <w:p w14:paraId="1186C18D">
            <w:pPr>
              <w:rPr>
                <w:rFonts w:ascii="Times New Roman" w:hAnsi="Times New Roman" w:eastAsia="仿宋_GB2312" w:cs="Times New Roman"/>
                <w:sz w:val="24"/>
                <w:szCs w:val="24"/>
              </w:rPr>
            </w:pPr>
          </w:p>
        </w:tc>
        <w:tc>
          <w:tcPr>
            <w:tcW w:w="2535" w:type="dxa"/>
            <w:vMerge w:val="continue"/>
            <w:tcBorders>
              <w:top w:val="nil"/>
              <w:left w:val="single" w:color="auto" w:sz="4" w:space="0"/>
              <w:bottom w:val="single" w:color="auto" w:sz="4" w:space="0"/>
              <w:right w:val="single" w:color="auto" w:sz="4" w:space="0"/>
            </w:tcBorders>
            <w:vAlign w:val="center"/>
          </w:tcPr>
          <w:p w14:paraId="4A6FE62D">
            <w:pPr>
              <w:rPr>
                <w:rFonts w:ascii="Times New Roman" w:hAnsi="Times New Roman" w:eastAsia="仿宋_GB2312" w:cs="Times New Roman"/>
                <w:sz w:val="24"/>
                <w:szCs w:val="24"/>
              </w:rPr>
            </w:pPr>
          </w:p>
        </w:tc>
        <w:tc>
          <w:tcPr>
            <w:tcW w:w="1055" w:type="dxa"/>
            <w:vMerge w:val="continue"/>
            <w:tcBorders>
              <w:top w:val="single" w:color="auto" w:sz="4" w:space="0"/>
              <w:left w:val="single" w:color="auto" w:sz="4" w:space="0"/>
              <w:bottom w:val="single" w:color="auto" w:sz="4" w:space="0"/>
              <w:right w:val="single" w:color="auto" w:sz="4" w:space="0"/>
            </w:tcBorders>
            <w:vAlign w:val="center"/>
          </w:tcPr>
          <w:p w14:paraId="47F7FEF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BBFBD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2BB301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0CAD1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80F018">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10EAEE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9B6C5DD">
            <w:pPr>
              <w:rPr>
                <w:rFonts w:ascii="Times New Roman" w:hAnsi="Times New Roman" w:eastAsia="仿宋_GB2312" w:cs="Times New Roman"/>
                <w:sz w:val="24"/>
                <w:szCs w:val="24"/>
              </w:rPr>
            </w:pPr>
          </w:p>
        </w:tc>
      </w:tr>
      <w:tr w14:paraId="3EBE0A6B">
        <w:tblPrEx>
          <w:tblCellMar>
            <w:top w:w="0" w:type="dxa"/>
            <w:left w:w="0" w:type="dxa"/>
            <w:bottom w:w="0" w:type="dxa"/>
            <w:right w:w="0" w:type="dxa"/>
          </w:tblCellMar>
        </w:tblPrEx>
        <w:trPr>
          <w:trHeight w:val="300" w:hRule="atLeast"/>
          <w:jc w:val="center"/>
        </w:trPr>
        <w:tc>
          <w:tcPr>
            <w:tcW w:w="377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C55DC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0BEA0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CFFD9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1E25C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49F16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DEF680">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6B13B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F15BE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D0B6D6B">
        <w:tblPrEx>
          <w:tblCellMar>
            <w:top w:w="0" w:type="dxa"/>
            <w:left w:w="0" w:type="dxa"/>
            <w:bottom w:w="0" w:type="dxa"/>
            <w:right w:w="0" w:type="dxa"/>
          </w:tblCellMar>
        </w:tblPrEx>
        <w:trPr>
          <w:trHeight w:val="450" w:hRule="atLeast"/>
          <w:jc w:val="center"/>
        </w:trPr>
        <w:tc>
          <w:tcPr>
            <w:tcW w:w="377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D099E5">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17813">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192.72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5FF19">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191.62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81F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43A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A16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B674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5C76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w:t>
            </w:r>
            <w:r>
              <w:rPr>
                <w:rFonts w:ascii="Times New Roman" w:hAnsi="Times New Roman" w:eastAsia="仿宋_GB2312" w:cs="Times New Roman"/>
              </w:rPr>
              <w:t>　</w:t>
            </w:r>
          </w:p>
        </w:tc>
      </w:tr>
      <w:tr w14:paraId="6D6451B6">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EC5407">
            <w:pPr>
              <w:rPr>
                <w:rFonts w:ascii="Times New Roman" w:hAnsi="Times New Roman" w:eastAsia="仿宋_GB2312" w:cs="Times New Roman"/>
              </w:rPr>
            </w:pPr>
            <w:r>
              <w:rPr>
                <w:rFonts w:hint="eastAsia" w:ascii="Times New Roman" w:hAnsi="Times New Roman" w:eastAsia="仿宋_GB2312" w:cs="Times New Roman"/>
              </w:rPr>
              <w:t>201</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8DC753">
            <w:pPr>
              <w:rPr>
                <w:rFonts w:hint="eastAsia" w:ascii="Times New Roman" w:hAnsi="Times New Roman" w:eastAsia="仿宋_GB2312" w:cs="Times New Roman"/>
              </w:rPr>
            </w:pPr>
            <w:r>
              <w:rPr>
                <w:rFonts w:hint="eastAsia" w:ascii="Times New Roman" w:hAnsi="Times New Roman" w:eastAsia="仿宋_GB2312" w:cs="Times New Roman"/>
              </w:rPr>
              <w:t>一般公共服务支出</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6EBCB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71B4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59EF4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C85D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F96BA">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C6DA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0FC380">
            <w:pPr>
              <w:jc w:val="right"/>
              <w:rPr>
                <w:rFonts w:ascii="Times New Roman" w:hAnsi="Times New Roman" w:eastAsia="仿宋_GB2312" w:cs="Times New Roman"/>
              </w:rPr>
            </w:pPr>
          </w:p>
        </w:tc>
      </w:tr>
      <w:tr w14:paraId="2C917106">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F013F6">
            <w:pPr>
              <w:rPr>
                <w:rFonts w:ascii="Times New Roman" w:hAnsi="Times New Roman" w:eastAsia="仿宋_GB2312" w:cs="Times New Roman"/>
              </w:rPr>
            </w:pPr>
            <w:r>
              <w:rPr>
                <w:rFonts w:hint="eastAsia" w:ascii="Times New Roman" w:hAnsi="Times New Roman" w:eastAsia="仿宋_GB2312" w:cs="Times New Roman"/>
              </w:rPr>
              <w:t>20199</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714B4">
            <w:pPr>
              <w:rPr>
                <w:rFonts w:hint="eastAsia"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E40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F46A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455B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0C92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FA1E33">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0116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55E40">
            <w:pPr>
              <w:jc w:val="right"/>
              <w:rPr>
                <w:rFonts w:ascii="Times New Roman" w:hAnsi="Times New Roman" w:eastAsia="仿宋_GB2312" w:cs="Times New Roman"/>
              </w:rPr>
            </w:pPr>
          </w:p>
        </w:tc>
      </w:tr>
      <w:tr w14:paraId="50C8BA2A">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2B3B9D">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9999</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AA14DD">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FDFD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35E2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690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82E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537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37F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2A0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8E55471">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9A9810">
            <w:pPr>
              <w:rPr>
                <w:rFonts w:ascii="Times New Roman" w:hAnsi="Times New Roman" w:eastAsia="仿宋_GB2312" w:cs="Times New Roman"/>
              </w:rPr>
            </w:pPr>
            <w:r>
              <w:rPr>
                <w:rFonts w:hint="eastAsia" w:ascii="Times New Roman" w:hAnsi="Times New Roman" w:eastAsia="仿宋_GB2312" w:cs="Times New Roman"/>
              </w:rPr>
              <w:t>208</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61E356">
            <w:pPr>
              <w:rPr>
                <w:rFonts w:ascii="Times New Roman" w:hAnsi="Times New Roman" w:eastAsia="仿宋_GB2312" w:cs="Times New Roman"/>
              </w:rPr>
            </w:pPr>
            <w:r>
              <w:rPr>
                <w:rFonts w:hint="eastAsia" w:ascii="Times New Roman" w:hAnsi="Times New Roman" w:eastAsia="仿宋_GB2312" w:cs="Times New Roman"/>
              </w:rPr>
              <w:t>社会保障和就业支出</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C79F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883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AD72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619E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E3F38">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6980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3D196">
            <w:pPr>
              <w:jc w:val="right"/>
              <w:rPr>
                <w:rFonts w:ascii="Times New Roman" w:hAnsi="Times New Roman" w:eastAsia="仿宋_GB2312" w:cs="Times New Roman"/>
              </w:rPr>
            </w:pPr>
          </w:p>
        </w:tc>
      </w:tr>
      <w:tr w14:paraId="331DBDD4">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25A15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A88B9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行政事业单位养老支出</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7482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2051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A8B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E796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43F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D47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D50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D13CDAF">
        <w:tblPrEx>
          <w:tblCellMar>
            <w:top w:w="0" w:type="dxa"/>
            <w:left w:w="0" w:type="dxa"/>
            <w:bottom w:w="0" w:type="dxa"/>
            <w:right w:w="0" w:type="dxa"/>
          </w:tblCellMar>
        </w:tblPrEx>
        <w:trPr>
          <w:trHeight w:val="429"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F12230">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2080502</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7280D9">
            <w:pP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事业单位离退休</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ABDA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E92700">
            <w:pPr>
              <w:jc w:val="right"/>
              <w:rPr>
                <w:rFonts w:ascii="Times New Roman" w:hAnsi="Times New Roman" w:eastAsia="仿宋_GB2312" w:cs="Times New Roman"/>
                <w:sz w:val="24"/>
                <w:szCs w:val="24"/>
              </w:rPr>
            </w:pPr>
            <w:r>
              <w:rPr>
                <w:rFonts w:hint="eastAsia" w:ascii="Times New Roman" w:hAnsi="Times New Roman" w:eastAsia="仿宋_GB2312" w:cs="Times New Roman"/>
              </w:rPr>
              <w:t>15.9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53D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4FB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551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695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36A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3DFF82A">
        <w:tblPrEx>
          <w:tblCellMar>
            <w:top w:w="0" w:type="dxa"/>
            <w:left w:w="0" w:type="dxa"/>
            <w:bottom w:w="0" w:type="dxa"/>
            <w:right w:w="0" w:type="dxa"/>
          </w:tblCellMar>
        </w:tblPrEx>
        <w:trPr>
          <w:trHeight w:val="9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084412">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99E4C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9EDAC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15BC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82B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C41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239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E90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866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7B1FD53">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75987F">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A1A0FD">
            <w:pPr>
              <w:rPr>
                <w:rFonts w:ascii="Times New Roman" w:hAnsi="Times New Roman" w:eastAsia="仿宋_GB2312" w:cs="Times New Roman"/>
              </w:rPr>
            </w:pPr>
            <w:r>
              <w:rPr>
                <w:rFonts w:hint="eastAsia" w:ascii="Times New Roman" w:hAnsi="Times New Roman" w:eastAsia="仿宋_GB2312" w:cs="Times New Roman"/>
              </w:rPr>
              <w:t>抚恤</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770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F6C8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FA791B">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EE73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A6BEC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7FDC9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CD875">
            <w:pPr>
              <w:jc w:val="right"/>
              <w:rPr>
                <w:rFonts w:ascii="Times New Roman" w:hAnsi="Times New Roman" w:eastAsia="仿宋_GB2312" w:cs="Times New Roman"/>
              </w:rPr>
            </w:pPr>
          </w:p>
        </w:tc>
      </w:tr>
      <w:tr w14:paraId="3E11306A">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8D48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25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90A85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0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0B8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26A5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30F8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5E1B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FF42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A86D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0AF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4DCF6FA">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DB3CA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2080802</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70CE157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DF01F6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0.71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3F13FA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0.71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F3DE9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1A4BF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C7F1F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DC05D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91437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F1E8B60">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18EF6C">
            <w:pPr>
              <w:rPr>
                <w:rFonts w:hint="eastAsia" w:ascii="Times New Roman" w:hAnsi="Times New Roman" w:eastAsia="仿宋_GB2312" w:cs="Times New Roman"/>
              </w:rPr>
            </w:pPr>
            <w:r>
              <w:rPr>
                <w:rFonts w:hint="eastAsia" w:ascii="Times New Roman" w:hAnsi="Times New Roman" w:eastAsia="仿宋_GB2312" w:cs="Times New Roman"/>
              </w:rPr>
              <w:t>210</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F06C9C3">
            <w:pPr>
              <w:rPr>
                <w:rFonts w:hint="eastAsia" w:ascii="Times New Roman" w:hAnsi="Times New Roman" w:eastAsia="仿宋_GB2312" w:cs="Times New Roman"/>
              </w:rPr>
            </w:pPr>
            <w:r>
              <w:rPr>
                <w:rFonts w:hint="eastAsia" w:ascii="Times New Roman" w:hAnsi="Times New Roman" w:eastAsia="仿宋_GB2312" w:cs="Times New Roman"/>
              </w:rPr>
              <w:t>卫生健康支出</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8E463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478AC7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FC3A10D">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13C4474">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8655CB9">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1A9DC92">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9AE89F2">
            <w:pPr>
              <w:jc w:val="right"/>
              <w:rPr>
                <w:rFonts w:ascii="Times New Roman" w:hAnsi="Times New Roman" w:eastAsia="仿宋_GB2312" w:cs="Times New Roman"/>
              </w:rPr>
            </w:pPr>
          </w:p>
        </w:tc>
      </w:tr>
      <w:tr w14:paraId="3E014D5F">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C9B2F8">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778EACB">
            <w:pPr>
              <w:rPr>
                <w:rFonts w:hint="eastAsia" w:ascii="Times New Roman" w:hAnsi="Times New Roman" w:eastAsia="仿宋_GB2312" w:cs="Times New Roman"/>
              </w:rPr>
            </w:pPr>
            <w:r>
              <w:rPr>
                <w:rFonts w:hint="eastAsia" w:ascii="Times New Roman" w:hAnsi="Times New Roman" w:eastAsia="仿宋_GB2312" w:cs="Times New Roman"/>
              </w:rPr>
              <w:t>行政事业单位医疗</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0DBCFC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DD5B4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68AB336">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C484C45">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3EC19C0">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069E258">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4D57712">
            <w:pPr>
              <w:jc w:val="right"/>
              <w:rPr>
                <w:rFonts w:ascii="Times New Roman" w:hAnsi="Times New Roman" w:eastAsia="仿宋_GB2312" w:cs="Times New Roman"/>
              </w:rPr>
            </w:pPr>
          </w:p>
        </w:tc>
      </w:tr>
      <w:tr w14:paraId="5270BF54">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27BAC8">
            <w:pPr>
              <w:rPr>
                <w:rFonts w:ascii="Times New Roman" w:hAnsi="Times New Roman" w:eastAsia="仿宋_GB2312" w:cs="Times New Roman"/>
              </w:rPr>
            </w:pPr>
            <w:r>
              <w:rPr>
                <w:rFonts w:hint="eastAsia" w:ascii="Times New Roman" w:hAnsi="Times New Roman" w:eastAsia="仿宋_GB2312" w:cs="Times New Roman"/>
              </w:rPr>
              <w:t>2101102</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3F02978">
            <w:pPr>
              <w:rPr>
                <w:rFonts w:ascii="Times New Roman" w:hAnsi="Times New Roman" w:eastAsia="仿宋_GB2312" w:cs="Times New Roman"/>
              </w:rPr>
            </w:pPr>
            <w:r>
              <w:rPr>
                <w:rFonts w:hint="eastAsia" w:ascii="Times New Roman" w:hAnsi="Times New Roman" w:eastAsia="仿宋_GB2312" w:cs="Times New Roman"/>
              </w:rPr>
              <w:t>事业单位医疗</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D65711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A9A313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75A31E">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016A021">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6B64B40">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A80A265">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1E5B09A">
            <w:pPr>
              <w:jc w:val="right"/>
              <w:rPr>
                <w:rFonts w:ascii="Times New Roman" w:hAnsi="Times New Roman" w:eastAsia="仿宋_GB2312" w:cs="Times New Roman"/>
              </w:rPr>
            </w:pPr>
          </w:p>
        </w:tc>
      </w:tr>
      <w:tr w14:paraId="25887514">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F6A3B2">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216</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7D5527FB">
            <w:pPr>
              <w:rPr>
                <w:rFonts w:hint="eastAsia" w:ascii="Times New Roman" w:hAnsi="Times New Roman" w:eastAsia="仿宋_GB2312" w:cs="Times New Roman"/>
              </w:rPr>
            </w:pPr>
            <w:r>
              <w:rPr>
                <w:rFonts w:hint="eastAsia" w:ascii="Times New Roman" w:hAnsi="Times New Roman" w:eastAsia="仿宋_GB2312" w:cs="Times New Roman"/>
              </w:rPr>
              <w:t>商业服务业等支出</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A53F1B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146.21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6A0352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145.12</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45E57F1">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A511540">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B915B49">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DDA800B">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DE8AFE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w:t>
            </w:r>
          </w:p>
        </w:tc>
      </w:tr>
      <w:tr w14:paraId="5380C5E2">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342E84">
            <w:pPr>
              <w:rPr>
                <w:rFonts w:hint="eastAsia" w:ascii="Times New Roman" w:hAnsi="Times New Roman" w:eastAsia="仿宋_GB2312" w:cs="Times New Roman"/>
              </w:rPr>
            </w:pPr>
            <w:r>
              <w:rPr>
                <w:rFonts w:hint="eastAsia" w:ascii="Times New Roman" w:hAnsi="Times New Roman" w:eastAsia="仿宋_GB2312" w:cs="Times New Roman"/>
              </w:rPr>
              <w:t>21602</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88647E3">
            <w:pPr>
              <w:rPr>
                <w:rFonts w:hint="eastAsia" w:ascii="Times New Roman" w:hAnsi="Times New Roman" w:eastAsia="仿宋_GB2312" w:cs="Times New Roman"/>
              </w:rPr>
            </w:pPr>
            <w:r>
              <w:rPr>
                <w:rFonts w:hint="eastAsia" w:ascii="Times New Roman" w:hAnsi="Times New Roman" w:eastAsia="仿宋_GB2312" w:cs="Times New Roman"/>
              </w:rPr>
              <w:t>商业流通事务</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CE7DAE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145.97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5C753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144.87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88D1492">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6F0D965">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3FE2F8D">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D70FAF4">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37BD63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w:t>
            </w:r>
          </w:p>
        </w:tc>
      </w:tr>
      <w:tr w14:paraId="5928F0AF">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2F4133">
            <w:pPr>
              <w:rPr>
                <w:rFonts w:hint="default" w:ascii="Times New Roman" w:hAnsi="Times New Roman" w:eastAsia="仿宋_GB2312" w:cs="Times New Roman"/>
                <w:lang w:val="en-US" w:eastAsia="zh-CN"/>
              </w:rPr>
            </w:pPr>
            <w:r>
              <w:rPr>
                <w:rFonts w:hint="eastAsia" w:ascii="Times New Roman" w:hAnsi="Times New Roman" w:eastAsia="仿宋_GB2312" w:cs="Times New Roman"/>
              </w:rPr>
              <w:t>21602</w:t>
            </w:r>
            <w:r>
              <w:rPr>
                <w:rFonts w:hint="eastAsia" w:ascii="Times New Roman" w:hAnsi="Times New Roman" w:eastAsia="仿宋_GB2312" w:cs="Times New Roman"/>
                <w:lang w:val="en-US" w:eastAsia="zh-CN"/>
              </w:rPr>
              <w:t>01</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BC0CBAF">
            <w:pP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BF0808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145.97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53591C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144.87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DEF9FD8">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7D78F9B">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F93A614">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97F632">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F33C86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w:t>
            </w:r>
          </w:p>
        </w:tc>
      </w:tr>
      <w:tr w14:paraId="6ABD80C9">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E9927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21606</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9E6E823">
            <w:pPr>
              <w:rPr>
                <w:rFonts w:hint="eastAsia" w:ascii="Times New Roman" w:hAnsi="Times New Roman" w:eastAsia="仿宋_GB2312" w:cs="Times New Roman"/>
              </w:rPr>
            </w:pPr>
            <w:r>
              <w:rPr>
                <w:rFonts w:hint="eastAsia" w:ascii="Times New Roman" w:hAnsi="Times New Roman" w:eastAsia="仿宋_GB2312" w:cs="Times New Roman"/>
              </w:rPr>
              <w:t>涉外发展服务支出</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C6E40E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756E6F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52EBDF7">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C12DD11">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ACF66AB">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EFEC56C">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C4BC2A4">
            <w:pPr>
              <w:jc w:val="right"/>
              <w:rPr>
                <w:rFonts w:ascii="Times New Roman" w:hAnsi="Times New Roman" w:eastAsia="仿宋_GB2312" w:cs="Times New Roman"/>
              </w:rPr>
            </w:pPr>
          </w:p>
        </w:tc>
      </w:tr>
      <w:tr w14:paraId="11AF7426">
        <w:tblPrEx>
          <w:tblCellMar>
            <w:top w:w="0" w:type="dxa"/>
            <w:left w:w="0" w:type="dxa"/>
            <w:bottom w:w="0" w:type="dxa"/>
            <w:right w:w="0" w:type="dxa"/>
          </w:tblCellMar>
        </w:tblPrEx>
        <w:trPr>
          <w:trHeight w:val="450"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92E119">
            <w:pPr>
              <w:rPr>
                <w:rFonts w:hint="default" w:ascii="Times New Roman" w:hAnsi="Times New Roman" w:eastAsia="仿宋_GB2312" w:cs="Times New Roman"/>
                <w:lang w:val="en-US" w:eastAsia="zh-CN"/>
              </w:rPr>
            </w:pPr>
            <w:r>
              <w:rPr>
                <w:rFonts w:hint="eastAsia" w:ascii="Times New Roman" w:hAnsi="Times New Roman" w:eastAsia="仿宋_GB2312" w:cs="Times New Roman"/>
              </w:rPr>
              <w:t>21606</w:t>
            </w:r>
            <w:r>
              <w:rPr>
                <w:rFonts w:hint="eastAsia" w:ascii="Times New Roman" w:hAnsi="Times New Roman" w:eastAsia="仿宋_GB2312" w:cs="Times New Roman"/>
                <w:lang w:val="en-US" w:eastAsia="zh-CN"/>
              </w:rPr>
              <w:t>01</w:t>
            </w:r>
          </w:p>
        </w:tc>
        <w:tc>
          <w:tcPr>
            <w:tcW w:w="2535"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001646A">
            <w:pP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055"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64A811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0.25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D837E6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0.25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D8A97D5">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6D84FE2">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205AB4">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3ABB1A8">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68B582C">
            <w:pPr>
              <w:jc w:val="right"/>
              <w:rPr>
                <w:rFonts w:ascii="Times New Roman" w:hAnsi="Times New Roman" w:eastAsia="仿宋_GB2312" w:cs="Times New Roman"/>
              </w:rPr>
            </w:pPr>
          </w:p>
        </w:tc>
      </w:tr>
    </w:tbl>
    <w:p w14:paraId="15AA92B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3CD366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62C60BD">
      <w:pPr>
        <w:widowControl/>
        <w:jc w:val="center"/>
        <w:textAlignment w:val="center"/>
        <w:rPr>
          <w:rFonts w:ascii="Times New Roman" w:hAnsi="Times New Roman" w:eastAsia="黑体" w:cs="Times New Roman"/>
          <w:color w:val="000000"/>
          <w:kern w:val="0"/>
          <w:sz w:val="32"/>
          <w:szCs w:val="32"/>
          <w:lang w:bidi="ar"/>
        </w:rPr>
      </w:pPr>
    </w:p>
    <w:p w14:paraId="6611149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A1025F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8A0F7B4">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蓝山县商业与物资企业改制服务办公室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1161"/>
        <w:gridCol w:w="3786"/>
        <w:gridCol w:w="1654"/>
        <w:gridCol w:w="1140"/>
        <w:gridCol w:w="1140"/>
        <w:gridCol w:w="1684"/>
        <w:gridCol w:w="1141"/>
        <w:gridCol w:w="2503"/>
      </w:tblGrid>
      <w:tr w14:paraId="1A1EEB8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FF5FE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1714F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1F9B8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770D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99972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4D80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2FDD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BC3D97F">
        <w:tblPrEx>
          <w:tblCellMar>
            <w:top w:w="0" w:type="dxa"/>
            <w:left w:w="108" w:type="dxa"/>
            <w:bottom w:w="0" w:type="dxa"/>
            <w:right w:w="108" w:type="dxa"/>
          </w:tblCellMar>
        </w:tblPrEx>
        <w:trPr>
          <w:trHeight w:val="312" w:hRule="exact"/>
          <w:jc w:val="center"/>
        </w:trPr>
        <w:tc>
          <w:tcPr>
            <w:tcW w:w="46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D77B8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56" w:type="pct"/>
            <w:vMerge w:val="restart"/>
            <w:tcBorders>
              <w:top w:val="nil"/>
              <w:left w:val="single" w:color="auto" w:sz="4" w:space="0"/>
              <w:bottom w:val="single" w:color="auto" w:sz="4" w:space="0"/>
              <w:right w:val="single" w:color="auto" w:sz="4" w:space="0"/>
            </w:tcBorders>
            <w:shd w:val="clear" w:color="000000" w:fill="FFFFFF"/>
            <w:vAlign w:val="center"/>
          </w:tcPr>
          <w:p w14:paraId="5EE3097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91E5B6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1F128E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4261FD8">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8454AD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CE702AA">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24203A3">
            <w:pPr>
              <w:widowControl/>
              <w:jc w:val="left"/>
              <w:rPr>
                <w:rFonts w:ascii="Times New Roman" w:hAnsi="Times New Roman" w:eastAsia="仿宋_GB2312" w:cs="Times New Roman"/>
                <w:b/>
                <w:bCs/>
                <w:kern w:val="0"/>
                <w:sz w:val="24"/>
                <w:szCs w:val="24"/>
              </w:rPr>
            </w:pPr>
          </w:p>
        </w:tc>
      </w:tr>
      <w:tr w14:paraId="066C409B">
        <w:tblPrEx>
          <w:tblCellMar>
            <w:top w:w="0" w:type="dxa"/>
            <w:left w:w="108" w:type="dxa"/>
            <w:bottom w:w="0" w:type="dxa"/>
            <w:right w:w="108" w:type="dxa"/>
          </w:tblCellMar>
        </w:tblPrEx>
        <w:trPr>
          <w:trHeight w:val="595" w:hRule="atLeast"/>
          <w:jc w:val="center"/>
        </w:trPr>
        <w:tc>
          <w:tcPr>
            <w:tcW w:w="466" w:type="pct"/>
            <w:vMerge w:val="continue"/>
            <w:tcBorders>
              <w:top w:val="single" w:color="auto" w:sz="4" w:space="0"/>
              <w:left w:val="single" w:color="auto" w:sz="4" w:space="0"/>
              <w:bottom w:val="single" w:color="auto" w:sz="4" w:space="0"/>
              <w:right w:val="single" w:color="auto" w:sz="4" w:space="0"/>
            </w:tcBorders>
            <w:vAlign w:val="center"/>
          </w:tcPr>
          <w:p w14:paraId="46B3130E">
            <w:pPr>
              <w:widowControl/>
              <w:jc w:val="left"/>
              <w:rPr>
                <w:rFonts w:ascii="Times New Roman" w:hAnsi="Times New Roman" w:eastAsia="仿宋_GB2312" w:cs="Times New Roman"/>
                <w:kern w:val="0"/>
                <w:sz w:val="24"/>
                <w:szCs w:val="24"/>
              </w:rPr>
            </w:pPr>
          </w:p>
        </w:tc>
        <w:tc>
          <w:tcPr>
            <w:tcW w:w="856" w:type="pct"/>
            <w:vMerge w:val="continue"/>
            <w:tcBorders>
              <w:top w:val="nil"/>
              <w:left w:val="single" w:color="auto" w:sz="4" w:space="0"/>
              <w:bottom w:val="single" w:color="auto" w:sz="4" w:space="0"/>
              <w:right w:val="single" w:color="auto" w:sz="4" w:space="0"/>
            </w:tcBorders>
            <w:vAlign w:val="center"/>
          </w:tcPr>
          <w:p w14:paraId="150C9DE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4465A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0D734A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1C72FE0">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53154C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2000B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3FC198D">
            <w:pPr>
              <w:widowControl/>
              <w:jc w:val="left"/>
              <w:rPr>
                <w:rFonts w:ascii="Times New Roman" w:hAnsi="Times New Roman" w:eastAsia="仿宋_GB2312" w:cs="Times New Roman"/>
                <w:kern w:val="0"/>
                <w:sz w:val="24"/>
                <w:szCs w:val="24"/>
              </w:rPr>
            </w:pPr>
          </w:p>
        </w:tc>
      </w:tr>
      <w:tr w14:paraId="55854DD4">
        <w:tblPrEx>
          <w:tblCellMar>
            <w:top w:w="0" w:type="dxa"/>
            <w:left w:w="108" w:type="dxa"/>
            <w:bottom w:w="0" w:type="dxa"/>
            <w:right w:w="108" w:type="dxa"/>
          </w:tblCellMar>
        </w:tblPrEx>
        <w:trPr>
          <w:trHeight w:val="460"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669F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15CFCB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07D9FA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105358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504C44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57B29B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0E7D8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FC9B836">
        <w:tblPrEx>
          <w:tblCellMar>
            <w:top w:w="0" w:type="dxa"/>
            <w:left w:w="108" w:type="dxa"/>
            <w:bottom w:w="0" w:type="dxa"/>
            <w:right w:w="108" w:type="dxa"/>
          </w:tblCellMar>
        </w:tblPrEx>
        <w:trPr>
          <w:trHeight w:val="38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59282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7D6005EE">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192.72 </w:t>
            </w:r>
          </w:p>
        </w:tc>
        <w:tc>
          <w:tcPr>
            <w:tcW w:w="469" w:type="pct"/>
            <w:tcBorders>
              <w:top w:val="nil"/>
              <w:left w:val="nil"/>
              <w:bottom w:val="single" w:color="auto" w:sz="4" w:space="0"/>
              <w:right w:val="single" w:color="auto" w:sz="4" w:space="0"/>
            </w:tcBorders>
            <w:shd w:val="clear" w:color="auto" w:fill="auto"/>
            <w:noWrap/>
            <w:vAlign w:val="center"/>
          </w:tcPr>
          <w:p w14:paraId="33B392CB">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192.72 </w:t>
            </w:r>
          </w:p>
        </w:tc>
        <w:tc>
          <w:tcPr>
            <w:tcW w:w="469" w:type="pct"/>
            <w:tcBorders>
              <w:top w:val="nil"/>
              <w:left w:val="nil"/>
              <w:bottom w:val="single" w:color="auto" w:sz="4" w:space="0"/>
              <w:right w:val="single" w:color="auto" w:sz="4" w:space="0"/>
            </w:tcBorders>
            <w:shd w:val="clear" w:color="auto" w:fill="auto"/>
            <w:noWrap/>
            <w:vAlign w:val="center"/>
          </w:tcPr>
          <w:p w14:paraId="7B53C3E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467B1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836749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E6447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85B3861">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BCD9EB">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856" w:type="pct"/>
            <w:tcBorders>
              <w:top w:val="nil"/>
              <w:left w:val="nil"/>
              <w:bottom w:val="single" w:color="auto" w:sz="4" w:space="0"/>
              <w:right w:val="single" w:color="auto" w:sz="4" w:space="0"/>
            </w:tcBorders>
            <w:shd w:val="clear" w:color="000000" w:fill="FFFFFF"/>
            <w:noWrap/>
            <w:vAlign w:val="center"/>
          </w:tcPr>
          <w:p w14:paraId="64978F4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503714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469" w:type="pct"/>
            <w:tcBorders>
              <w:top w:val="nil"/>
              <w:left w:val="nil"/>
              <w:bottom w:val="single" w:color="auto" w:sz="4" w:space="0"/>
              <w:right w:val="single" w:color="auto" w:sz="4" w:space="0"/>
            </w:tcBorders>
            <w:shd w:val="clear" w:color="auto" w:fill="auto"/>
            <w:noWrap/>
            <w:vAlign w:val="center"/>
          </w:tcPr>
          <w:p w14:paraId="420DE5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469" w:type="pct"/>
            <w:tcBorders>
              <w:top w:val="nil"/>
              <w:left w:val="nil"/>
              <w:bottom w:val="single" w:color="auto" w:sz="4" w:space="0"/>
              <w:right w:val="single" w:color="auto" w:sz="4" w:space="0"/>
            </w:tcBorders>
            <w:shd w:val="clear" w:color="auto" w:fill="auto"/>
            <w:noWrap/>
            <w:vAlign w:val="center"/>
          </w:tcPr>
          <w:p w14:paraId="41E204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5DAA8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4B6FD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3C5C1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768031">
        <w:tblPrEx>
          <w:tblCellMar>
            <w:top w:w="0" w:type="dxa"/>
            <w:left w:w="108" w:type="dxa"/>
            <w:bottom w:w="0" w:type="dxa"/>
            <w:right w:w="108" w:type="dxa"/>
          </w:tblCellMar>
        </w:tblPrEx>
        <w:trPr>
          <w:trHeight w:val="430"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5C5595">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20199</w:t>
            </w:r>
          </w:p>
        </w:tc>
        <w:tc>
          <w:tcPr>
            <w:tcW w:w="856" w:type="pct"/>
            <w:tcBorders>
              <w:top w:val="nil"/>
              <w:left w:val="nil"/>
              <w:bottom w:val="single" w:color="auto" w:sz="4" w:space="0"/>
              <w:right w:val="single" w:color="auto" w:sz="4" w:space="0"/>
            </w:tcBorders>
            <w:shd w:val="clear" w:color="000000" w:fill="FFFFFF"/>
            <w:noWrap/>
            <w:vAlign w:val="center"/>
          </w:tcPr>
          <w:p w14:paraId="544AB86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2BA2B2C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469" w:type="pct"/>
            <w:tcBorders>
              <w:top w:val="nil"/>
              <w:left w:val="nil"/>
              <w:bottom w:val="single" w:color="auto" w:sz="4" w:space="0"/>
              <w:right w:val="single" w:color="auto" w:sz="4" w:space="0"/>
            </w:tcBorders>
            <w:shd w:val="clear" w:color="auto" w:fill="auto"/>
            <w:noWrap/>
            <w:vAlign w:val="center"/>
          </w:tcPr>
          <w:p w14:paraId="00CAD8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469" w:type="pct"/>
            <w:tcBorders>
              <w:top w:val="nil"/>
              <w:left w:val="nil"/>
              <w:bottom w:val="single" w:color="auto" w:sz="4" w:space="0"/>
              <w:right w:val="single" w:color="auto" w:sz="4" w:space="0"/>
            </w:tcBorders>
            <w:shd w:val="clear" w:color="auto" w:fill="auto"/>
            <w:noWrap/>
            <w:vAlign w:val="center"/>
          </w:tcPr>
          <w:p w14:paraId="5FEE09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0878B9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6E277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DF871E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3DD850">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DE9C8F">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9999</w:t>
            </w:r>
          </w:p>
        </w:tc>
        <w:tc>
          <w:tcPr>
            <w:tcW w:w="856" w:type="pct"/>
            <w:tcBorders>
              <w:top w:val="nil"/>
              <w:left w:val="nil"/>
              <w:bottom w:val="single" w:color="auto" w:sz="4" w:space="0"/>
              <w:right w:val="single" w:color="auto" w:sz="4" w:space="0"/>
            </w:tcBorders>
            <w:shd w:val="clear" w:color="000000" w:fill="FFFFFF"/>
            <w:noWrap/>
            <w:vAlign w:val="center"/>
          </w:tcPr>
          <w:p w14:paraId="21343B1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2B40337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469" w:type="pct"/>
            <w:tcBorders>
              <w:top w:val="nil"/>
              <w:left w:val="nil"/>
              <w:bottom w:val="single" w:color="auto" w:sz="4" w:space="0"/>
              <w:right w:val="single" w:color="auto" w:sz="4" w:space="0"/>
            </w:tcBorders>
            <w:shd w:val="clear" w:color="auto" w:fill="auto"/>
            <w:noWrap/>
            <w:vAlign w:val="center"/>
          </w:tcPr>
          <w:p w14:paraId="3D49A0C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469" w:type="pct"/>
            <w:tcBorders>
              <w:top w:val="nil"/>
              <w:left w:val="nil"/>
              <w:bottom w:val="single" w:color="auto" w:sz="4" w:space="0"/>
              <w:right w:val="single" w:color="auto" w:sz="4" w:space="0"/>
            </w:tcBorders>
            <w:shd w:val="clear" w:color="auto" w:fill="auto"/>
            <w:noWrap/>
            <w:vAlign w:val="center"/>
          </w:tcPr>
          <w:p w14:paraId="4999D74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D1A92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930809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8737C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98C3811">
        <w:tblPrEx>
          <w:tblCellMar>
            <w:top w:w="0" w:type="dxa"/>
            <w:left w:w="108" w:type="dxa"/>
            <w:bottom w:w="0" w:type="dxa"/>
            <w:right w:w="108" w:type="dxa"/>
          </w:tblCellMar>
        </w:tblPrEx>
        <w:trPr>
          <w:trHeight w:val="41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D70551">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p>
        </w:tc>
        <w:tc>
          <w:tcPr>
            <w:tcW w:w="856" w:type="pct"/>
            <w:tcBorders>
              <w:top w:val="nil"/>
              <w:left w:val="nil"/>
              <w:bottom w:val="single" w:color="auto" w:sz="4" w:space="0"/>
              <w:right w:val="single" w:color="auto" w:sz="4" w:space="0"/>
            </w:tcBorders>
            <w:shd w:val="clear" w:color="000000" w:fill="FFFFFF"/>
            <w:noWrap/>
            <w:vAlign w:val="center"/>
          </w:tcPr>
          <w:p w14:paraId="7203BC2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14:paraId="268AD89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38.27</w:t>
            </w:r>
          </w:p>
        </w:tc>
        <w:tc>
          <w:tcPr>
            <w:tcW w:w="469" w:type="pct"/>
            <w:tcBorders>
              <w:top w:val="nil"/>
              <w:left w:val="nil"/>
              <w:bottom w:val="single" w:color="auto" w:sz="4" w:space="0"/>
              <w:right w:val="single" w:color="auto" w:sz="4" w:space="0"/>
            </w:tcBorders>
            <w:shd w:val="clear" w:color="auto" w:fill="auto"/>
            <w:noWrap/>
            <w:vAlign w:val="center"/>
          </w:tcPr>
          <w:p w14:paraId="1AEC2A1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38.27</w:t>
            </w:r>
          </w:p>
        </w:tc>
        <w:tc>
          <w:tcPr>
            <w:tcW w:w="469" w:type="pct"/>
            <w:tcBorders>
              <w:top w:val="nil"/>
              <w:left w:val="nil"/>
              <w:bottom w:val="single" w:color="auto" w:sz="4" w:space="0"/>
              <w:right w:val="single" w:color="auto" w:sz="4" w:space="0"/>
            </w:tcBorders>
            <w:shd w:val="clear" w:color="auto" w:fill="auto"/>
            <w:noWrap/>
            <w:vAlign w:val="center"/>
          </w:tcPr>
          <w:p w14:paraId="437DD8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8139D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4C105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08544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FBDA76E">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5A9938">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w:t>
            </w:r>
          </w:p>
        </w:tc>
        <w:tc>
          <w:tcPr>
            <w:tcW w:w="856" w:type="pct"/>
            <w:tcBorders>
              <w:top w:val="nil"/>
              <w:left w:val="nil"/>
              <w:bottom w:val="single" w:color="auto" w:sz="4" w:space="0"/>
              <w:right w:val="single" w:color="auto" w:sz="4" w:space="0"/>
            </w:tcBorders>
            <w:shd w:val="clear" w:color="000000" w:fill="FFFFFF"/>
            <w:noWrap/>
            <w:vAlign w:val="center"/>
          </w:tcPr>
          <w:p w14:paraId="6E841801">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22FA1FF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33.22 </w:t>
            </w:r>
          </w:p>
        </w:tc>
        <w:tc>
          <w:tcPr>
            <w:tcW w:w="469" w:type="pct"/>
            <w:tcBorders>
              <w:top w:val="nil"/>
              <w:left w:val="nil"/>
              <w:bottom w:val="single" w:color="auto" w:sz="4" w:space="0"/>
              <w:right w:val="single" w:color="auto" w:sz="4" w:space="0"/>
            </w:tcBorders>
            <w:shd w:val="clear" w:color="auto" w:fill="auto"/>
            <w:noWrap/>
            <w:vAlign w:val="center"/>
          </w:tcPr>
          <w:p w14:paraId="75DF950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33.22 </w:t>
            </w:r>
          </w:p>
        </w:tc>
        <w:tc>
          <w:tcPr>
            <w:tcW w:w="469" w:type="pct"/>
            <w:tcBorders>
              <w:top w:val="nil"/>
              <w:left w:val="nil"/>
              <w:bottom w:val="single" w:color="auto" w:sz="4" w:space="0"/>
              <w:right w:val="single" w:color="auto" w:sz="4" w:space="0"/>
            </w:tcBorders>
            <w:shd w:val="clear" w:color="auto" w:fill="auto"/>
            <w:noWrap/>
            <w:vAlign w:val="center"/>
          </w:tcPr>
          <w:p w14:paraId="2EBCE6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D6CFC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FE7DC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298A3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6ECF20B">
        <w:tblPrEx>
          <w:tblCellMar>
            <w:top w:w="0" w:type="dxa"/>
            <w:left w:w="108" w:type="dxa"/>
            <w:bottom w:w="0" w:type="dxa"/>
            <w:right w:w="108" w:type="dxa"/>
          </w:tblCellMar>
        </w:tblPrEx>
        <w:trPr>
          <w:trHeight w:val="360"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A1AF6C">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2080502</w:t>
            </w:r>
          </w:p>
        </w:tc>
        <w:tc>
          <w:tcPr>
            <w:tcW w:w="856" w:type="pct"/>
            <w:tcBorders>
              <w:top w:val="nil"/>
              <w:left w:val="nil"/>
              <w:bottom w:val="nil"/>
              <w:right w:val="single" w:color="auto" w:sz="4" w:space="0"/>
            </w:tcBorders>
            <w:shd w:val="clear" w:color="000000" w:fill="FFFFFF"/>
            <w:noWrap/>
            <w:vAlign w:val="center"/>
          </w:tcPr>
          <w:p w14:paraId="2A22672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事业单位离退休</w:t>
            </w:r>
          </w:p>
        </w:tc>
        <w:tc>
          <w:tcPr>
            <w:tcW w:w="660" w:type="pct"/>
            <w:tcBorders>
              <w:top w:val="nil"/>
              <w:left w:val="nil"/>
              <w:bottom w:val="nil"/>
              <w:right w:val="single" w:color="auto" w:sz="4" w:space="0"/>
            </w:tcBorders>
            <w:shd w:val="clear" w:color="auto" w:fill="auto"/>
            <w:noWrap/>
            <w:vAlign w:val="center"/>
          </w:tcPr>
          <w:p w14:paraId="04E0CDA6">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15.9</w:t>
            </w:r>
            <w:r>
              <w:rPr>
                <w:rFonts w:ascii="Times New Roman" w:hAnsi="Times New Roman" w:eastAsia="仿宋_GB2312" w:cs="Times New Roman"/>
              </w:rPr>
              <w:t>　</w:t>
            </w:r>
          </w:p>
        </w:tc>
        <w:tc>
          <w:tcPr>
            <w:tcW w:w="469" w:type="pct"/>
            <w:tcBorders>
              <w:top w:val="nil"/>
              <w:left w:val="nil"/>
              <w:bottom w:val="nil"/>
              <w:right w:val="single" w:color="auto" w:sz="4" w:space="0"/>
            </w:tcBorders>
            <w:shd w:val="clear" w:color="auto" w:fill="auto"/>
            <w:noWrap/>
            <w:vAlign w:val="center"/>
          </w:tcPr>
          <w:p w14:paraId="5F2B399E">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15.9</w:t>
            </w:r>
            <w:r>
              <w:rPr>
                <w:rFonts w:ascii="Times New Roman" w:hAnsi="Times New Roman" w:eastAsia="仿宋_GB2312" w:cs="Times New Roman"/>
              </w:rPr>
              <w:t>　</w:t>
            </w:r>
          </w:p>
        </w:tc>
        <w:tc>
          <w:tcPr>
            <w:tcW w:w="469" w:type="pct"/>
            <w:tcBorders>
              <w:top w:val="nil"/>
              <w:left w:val="nil"/>
              <w:bottom w:val="nil"/>
              <w:right w:val="single" w:color="auto" w:sz="4" w:space="0"/>
            </w:tcBorders>
            <w:shd w:val="clear" w:color="auto" w:fill="auto"/>
            <w:noWrap/>
            <w:vAlign w:val="center"/>
          </w:tcPr>
          <w:p w14:paraId="1D0322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nil"/>
              <w:right w:val="single" w:color="auto" w:sz="4" w:space="0"/>
            </w:tcBorders>
            <w:shd w:val="clear" w:color="auto" w:fill="auto"/>
            <w:noWrap/>
            <w:vAlign w:val="center"/>
          </w:tcPr>
          <w:p w14:paraId="3E4B9F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12BC52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nil"/>
              <w:right w:val="single" w:color="auto" w:sz="4" w:space="0"/>
            </w:tcBorders>
            <w:shd w:val="clear" w:color="auto" w:fill="auto"/>
            <w:noWrap/>
            <w:vAlign w:val="center"/>
          </w:tcPr>
          <w:p w14:paraId="2611A1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ED3DAB6">
        <w:tblPrEx>
          <w:tblCellMar>
            <w:top w:w="0" w:type="dxa"/>
            <w:left w:w="108" w:type="dxa"/>
            <w:bottom w:w="0" w:type="dxa"/>
            <w:right w:w="108" w:type="dxa"/>
          </w:tblCellMar>
        </w:tblPrEx>
        <w:trPr>
          <w:trHeight w:val="360"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8D4617">
            <w:pPr>
              <w:rPr>
                <w:rFonts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856" w:type="pct"/>
            <w:tcBorders>
              <w:top w:val="nil"/>
              <w:left w:val="nil"/>
              <w:bottom w:val="nil"/>
              <w:right w:val="single" w:color="auto" w:sz="4" w:space="0"/>
            </w:tcBorders>
            <w:shd w:val="clear" w:color="000000" w:fill="FFFFFF"/>
            <w:noWrap/>
            <w:vAlign w:val="center"/>
          </w:tcPr>
          <w:p w14:paraId="549DC383">
            <w:pPr>
              <w:rPr>
                <w:rFonts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660" w:type="pct"/>
            <w:tcBorders>
              <w:top w:val="nil"/>
              <w:left w:val="nil"/>
              <w:bottom w:val="nil"/>
              <w:right w:val="single" w:color="auto" w:sz="4" w:space="0"/>
            </w:tcBorders>
            <w:shd w:val="clear" w:color="auto" w:fill="auto"/>
            <w:noWrap/>
            <w:vAlign w:val="center"/>
          </w:tcPr>
          <w:p w14:paraId="3EAB60A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17.32 </w:t>
            </w:r>
          </w:p>
        </w:tc>
        <w:tc>
          <w:tcPr>
            <w:tcW w:w="469" w:type="pct"/>
            <w:tcBorders>
              <w:top w:val="nil"/>
              <w:left w:val="nil"/>
              <w:bottom w:val="nil"/>
              <w:right w:val="single" w:color="auto" w:sz="4" w:space="0"/>
            </w:tcBorders>
            <w:shd w:val="clear" w:color="auto" w:fill="auto"/>
            <w:noWrap/>
            <w:vAlign w:val="center"/>
          </w:tcPr>
          <w:p w14:paraId="34DA98A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17.32 </w:t>
            </w:r>
          </w:p>
        </w:tc>
        <w:tc>
          <w:tcPr>
            <w:tcW w:w="469" w:type="pct"/>
            <w:tcBorders>
              <w:top w:val="nil"/>
              <w:left w:val="nil"/>
              <w:bottom w:val="nil"/>
              <w:right w:val="single" w:color="auto" w:sz="4" w:space="0"/>
            </w:tcBorders>
            <w:shd w:val="clear" w:color="auto" w:fill="auto"/>
            <w:noWrap/>
            <w:vAlign w:val="center"/>
          </w:tcPr>
          <w:p w14:paraId="05B04A6A">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041ADC86">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0CC29A19">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67F5247E">
            <w:pPr>
              <w:widowControl/>
              <w:jc w:val="right"/>
              <w:rPr>
                <w:rFonts w:ascii="Times New Roman" w:hAnsi="Times New Roman" w:eastAsia="仿宋_GB2312" w:cs="Times New Roman"/>
                <w:kern w:val="0"/>
                <w:sz w:val="24"/>
                <w:szCs w:val="24"/>
              </w:rPr>
            </w:pPr>
          </w:p>
        </w:tc>
      </w:tr>
      <w:tr w14:paraId="50993853">
        <w:tblPrEx>
          <w:tblCellMar>
            <w:top w:w="0" w:type="dxa"/>
            <w:left w:w="108" w:type="dxa"/>
            <w:bottom w:w="0" w:type="dxa"/>
            <w:right w:w="108" w:type="dxa"/>
          </w:tblCellMar>
        </w:tblPrEx>
        <w:trPr>
          <w:trHeight w:val="470"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6F665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856" w:type="pct"/>
            <w:tcBorders>
              <w:top w:val="nil"/>
              <w:left w:val="nil"/>
              <w:bottom w:val="nil"/>
              <w:right w:val="single" w:color="auto" w:sz="4" w:space="0"/>
            </w:tcBorders>
            <w:shd w:val="clear" w:color="000000" w:fill="FFFFFF"/>
            <w:noWrap/>
            <w:vAlign w:val="center"/>
          </w:tcPr>
          <w:p w14:paraId="58F774A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660" w:type="pct"/>
            <w:tcBorders>
              <w:top w:val="nil"/>
              <w:left w:val="nil"/>
              <w:bottom w:val="nil"/>
              <w:right w:val="single" w:color="auto" w:sz="4" w:space="0"/>
            </w:tcBorders>
            <w:shd w:val="clear" w:color="auto" w:fill="auto"/>
            <w:noWrap/>
            <w:vAlign w:val="center"/>
          </w:tcPr>
          <w:p w14:paraId="76FCFB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w:t>
            </w:r>
          </w:p>
        </w:tc>
        <w:tc>
          <w:tcPr>
            <w:tcW w:w="469" w:type="pct"/>
            <w:tcBorders>
              <w:top w:val="nil"/>
              <w:left w:val="nil"/>
              <w:bottom w:val="nil"/>
              <w:right w:val="single" w:color="auto" w:sz="4" w:space="0"/>
            </w:tcBorders>
            <w:shd w:val="clear" w:color="auto" w:fill="auto"/>
            <w:noWrap/>
            <w:vAlign w:val="center"/>
          </w:tcPr>
          <w:p w14:paraId="020488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w:t>
            </w:r>
          </w:p>
        </w:tc>
        <w:tc>
          <w:tcPr>
            <w:tcW w:w="469" w:type="pct"/>
            <w:tcBorders>
              <w:top w:val="nil"/>
              <w:left w:val="nil"/>
              <w:bottom w:val="nil"/>
              <w:right w:val="single" w:color="auto" w:sz="4" w:space="0"/>
            </w:tcBorders>
            <w:shd w:val="clear" w:color="auto" w:fill="auto"/>
            <w:noWrap/>
            <w:vAlign w:val="center"/>
          </w:tcPr>
          <w:p w14:paraId="2B9DD882">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39A64E84">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7DE5B5B6">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542F85FC">
            <w:pPr>
              <w:widowControl/>
              <w:jc w:val="right"/>
              <w:rPr>
                <w:rFonts w:ascii="Times New Roman" w:hAnsi="Times New Roman" w:eastAsia="仿宋_GB2312" w:cs="Times New Roman"/>
                <w:kern w:val="0"/>
                <w:sz w:val="24"/>
                <w:szCs w:val="24"/>
              </w:rPr>
            </w:pPr>
          </w:p>
        </w:tc>
      </w:tr>
      <w:tr w14:paraId="10892FF6">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495BDF">
            <w:pPr>
              <w:rPr>
                <w:rFonts w:hint="eastAsia"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856" w:type="pct"/>
            <w:tcBorders>
              <w:top w:val="nil"/>
              <w:left w:val="nil"/>
              <w:bottom w:val="nil"/>
              <w:right w:val="single" w:color="auto" w:sz="4" w:space="0"/>
            </w:tcBorders>
            <w:shd w:val="clear" w:color="000000" w:fill="FFFFFF"/>
            <w:noWrap/>
            <w:vAlign w:val="center"/>
          </w:tcPr>
          <w:p w14:paraId="5CE9914E">
            <w:pPr>
              <w:rPr>
                <w:rFonts w:hint="eastAsia"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660" w:type="pct"/>
            <w:tcBorders>
              <w:top w:val="nil"/>
              <w:left w:val="nil"/>
              <w:bottom w:val="nil"/>
              <w:right w:val="single" w:color="auto" w:sz="4" w:space="0"/>
            </w:tcBorders>
            <w:shd w:val="clear" w:color="auto" w:fill="auto"/>
            <w:noWrap/>
            <w:vAlign w:val="center"/>
          </w:tcPr>
          <w:p w14:paraId="048CF3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4.34 </w:t>
            </w:r>
          </w:p>
        </w:tc>
        <w:tc>
          <w:tcPr>
            <w:tcW w:w="469" w:type="pct"/>
            <w:tcBorders>
              <w:top w:val="nil"/>
              <w:left w:val="nil"/>
              <w:bottom w:val="nil"/>
              <w:right w:val="single" w:color="auto" w:sz="4" w:space="0"/>
            </w:tcBorders>
            <w:shd w:val="clear" w:color="auto" w:fill="auto"/>
            <w:noWrap/>
            <w:vAlign w:val="center"/>
          </w:tcPr>
          <w:p w14:paraId="175C86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4.34 </w:t>
            </w:r>
          </w:p>
        </w:tc>
        <w:tc>
          <w:tcPr>
            <w:tcW w:w="469" w:type="pct"/>
            <w:tcBorders>
              <w:top w:val="nil"/>
              <w:left w:val="nil"/>
              <w:bottom w:val="nil"/>
              <w:right w:val="single" w:color="auto" w:sz="4" w:space="0"/>
            </w:tcBorders>
            <w:shd w:val="clear" w:color="auto" w:fill="auto"/>
            <w:noWrap/>
            <w:vAlign w:val="center"/>
          </w:tcPr>
          <w:p w14:paraId="0DF0FC0E">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4817B07A">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6B8FBD1B">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7CB0D378">
            <w:pPr>
              <w:widowControl/>
              <w:jc w:val="right"/>
              <w:rPr>
                <w:rFonts w:ascii="Times New Roman" w:hAnsi="Times New Roman" w:eastAsia="仿宋_GB2312" w:cs="Times New Roman"/>
                <w:kern w:val="0"/>
                <w:sz w:val="24"/>
                <w:szCs w:val="24"/>
              </w:rPr>
            </w:pPr>
          </w:p>
        </w:tc>
      </w:tr>
      <w:tr w14:paraId="753D885C">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C60753">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2080802</w:t>
            </w:r>
          </w:p>
        </w:tc>
        <w:tc>
          <w:tcPr>
            <w:tcW w:w="856" w:type="pct"/>
            <w:tcBorders>
              <w:top w:val="nil"/>
              <w:left w:val="nil"/>
              <w:bottom w:val="nil"/>
              <w:right w:val="single" w:color="auto" w:sz="4" w:space="0"/>
            </w:tcBorders>
            <w:shd w:val="clear" w:color="000000" w:fill="FFFFFF"/>
            <w:noWrap/>
            <w:vAlign w:val="center"/>
          </w:tcPr>
          <w:p w14:paraId="197C389E">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660" w:type="pct"/>
            <w:tcBorders>
              <w:top w:val="nil"/>
              <w:left w:val="nil"/>
              <w:bottom w:val="nil"/>
              <w:right w:val="single" w:color="auto" w:sz="4" w:space="0"/>
            </w:tcBorders>
            <w:shd w:val="clear" w:color="auto" w:fill="auto"/>
            <w:noWrap/>
            <w:vAlign w:val="center"/>
          </w:tcPr>
          <w:p w14:paraId="442680C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0.71 </w:t>
            </w:r>
          </w:p>
        </w:tc>
        <w:tc>
          <w:tcPr>
            <w:tcW w:w="469" w:type="pct"/>
            <w:tcBorders>
              <w:top w:val="nil"/>
              <w:left w:val="nil"/>
              <w:bottom w:val="nil"/>
              <w:right w:val="single" w:color="auto" w:sz="4" w:space="0"/>
            </w:tcBorders>
            <w:shd w:val="clear" w:color="auto" w:fill="auto"/>
            <w:noWrap/>
            <w:vAlign w:val="center"/>
          </w:tcPr>
          <w:p w14:paraId="0C9DF36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0.71 </w:t>
            </w:r>
          </w:p>
        </w:tc>
        <w:tc>
          <w:tcPr>
            <w:tcW w:w="469" w:type="pct"/>
            <w:tcBorders>
              <w:top w:val="nil"/>
              <w:left w:val="nil"/>
              <w:bottom w:val="nil"/>
              <w:right w:val="single" w:color="auto" w:sz="4" w:space="0"/>
            </w:tcBorders>
            <w:shd w:val="clear" w:color="auto" w:fill="auto"/>
            <w:noWrap/>
            <w:vAlign w:val="center"/>
          </w:tcPr>
          <w:p w14:paraId="103B34A8">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202F4D09">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48AB0CDA">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662E0A2D">
            <w:pPr>
              <w:widowControl/>
              <w:jc w:val="right"/>
              <w:rPr>
                <w:rFonts w:ascii="Times New Roman" w:hAnsi="Times New Roman" w:eastAsia="仿宋_GB2312" w:cs="Times New Roman"/>
                <w:kern w:val="0"/>
                <w:sz w:val="24"/>
                <w:szCs w:val="24"/>
              </w:rPr>
            </w:pPr>
          </w:p>
        </w:tc>
      </w:tr>
      <w:tr w14:paraId="69AA8D13">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D4629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856" w:type="pct"/>
            <w:tcBorders>
              <w:top w:val="nil"/>
              <w:left w:val="nil"/>
              <w:bottom w:val="nil"/>
              <w:right w:val="single" w:color="auto" w:sz="4" w:space="0"/>
            </w:tcBorders>
            <w:shd w:val="clear" w:color="000000" w:fill="FFFFFF"/>
            <w:noWrap/>
            <w:vAlign w:val="center"/>
          </w:tcPr>
          <w:p w14:paraId="170677D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660" w:type="pct"/>
            <w:tcBorders>
              <w:top w:val="nil"/>
              <w:left w:val="nil"/>
              <w:bottom w:val="nil"/>
              <w:right w:val="single" w:color="auto" w:sz="4" w:space="0"/>
            </w:tcBorders>
            <w:shd w:val="clear" w:color="auto" w:fill="auto"/>
            <w:noWrap/>
            <w:vAlign w:val="center"/>
          </w:tcPr>
          <w:p w14:paraId="0181F7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469" w:type="pct"/>
            <w:tcBorders>
              <w:top w:val="nil"/>
              <w:left w:val="nil"/>
              <w:bottom w:val="nil"/>
              <w:right w:val="single" w:color="auto" w:sz="4" w:space="0"/>
            </w:tcBorders>
            <w:shd w:val="clear" w:color="auto" w:fill="auto"/>
            <w:noWrap/>
            <w:vAlign w:val="center"/>
          </w:tcPr>
          <w:p w14:paraId="69C87A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469" w:type="pct"/>
            <w:tcBorders>
              <w:top w:val="nil"/>
              <w:left w:val="nil"/>
              <w:bottom w:val="nil"/>
              <w:right w:val="single" w:color="auto" w:sz="4" w:space="0"/>
            </w:tcBorders>
            <w:shd w:val="clear" w:color="auto" w:fill="auto"/>
            <w:noWrap/>
            <w:vAlign w:val="center"/>
          </w:tcPr>
          <w:p w14:paraId="4985AC33">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3F03277F">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07F7DE9B">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65EDDD83">
            <w:pPr>
              <w:widowControl/>
              <w:jc w:val="right"/>
              <w:rPr>
                <w:rFonts w:ascii="Times New Roman" w:hAnsi="Times New Roman" w:eastAsia="仿宋_GB2312" w:cs="Times New Roman"/>
                <w:kern w:val="0"/>
                <w:sz w:val="24"/>
                <w:szCs w:val="24"/>
              </w:rPr>
            </w:pPr>
          </w:p>
        </w:tc>
      </w:tr>
      <w:tr w14:paraId="1EF38F24">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913163">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856" w:type="pct"/>
            <w:tcBorders>
              <w:top w:val="nil"/>
              <w:left w:val="nil"/>
              <w:bottom w:val="nil"/>
              <w:right w:val="single" w:color="auto" w:sz="4" w:space="0"/>
            </w:tcBorders>
            <w:shd w:val="clear" w:color="000000" w:fill="FFFFFF"/>
            <w:noWrap/>
            <w:vAlign w:val="center"/>
          </w:tcPr>
          <w:p w14:paraId="3F239D02">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660" w:type="pct"/>
            <w:tcBorders>
              <w:top w:val="nil"/>
              <w:left w:val="nil"/>
              <w:bottom w:val="nil"/>
              <w:right w:val="single" w:color="auto" w:sz="4" w:space="0"/>
            </w:tcBorders>
            <w:shd w:val="clear" w:color="auto" w:fill="auto"/>
            <w:noWrap/>
            <w:vAlign w:val="center"/>
          </w:tcPr>
          <w:p w14:paraId="00B000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469" w:type="pct"/>
            <w:tcBorders>
              <w:top w:val="nil"/>
              <w:left w:val="nil"/>
              <w:bottom w:val="nil"/>
              <w:right w:val="single" w:color="auto" w:sz="4" w:space="0"/>
            </w:tcBorders>
            <w:shd w:val="clear" w:color="auto" w:fill="auto"/>
            <w:noWrap/>
            <w:vAlign w:val="center"/>
          </w:tcPr>
          <w:p w14:paraId="24D58E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469" w:type="pct"/>
            <w:tcBorders>
              <w:top w:val="nil"/>
              <w:left w:val="nil"/>
              <w:bottom w:val="nil"/>
              <w:right w:val="single" w:color="auto" w:sz="4" w:space="0"/>
            </w:tcBorders>
            <w:shd w:val="clear" w:color="auto" w:fill="auto"/>
            <w:noWrap/>
            <w:vAlign w:val="center"/>
          </w:tcPr>
          <w:p w14:paraId="3FBF5FDA">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4FFB131E">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0D06F84C">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08B1DA79">
            <w:pPr>
              <w:widowControl/>
              <w:jc w:val="right"/>
              <w:rPr>
                <w:rFonts w:ascii="Times New Roman" w:hAnsi="Times New Roman" w:eastAsia="仿宋_GB2312" w:cs="Times New Roman"/>
                <w:kern w:val="0"/>
                <w:sz w:val="24"/>
                <w:szCs w:val="24"/>
              </w:rPr>
            </w:pPr>
          </w:p>
        </w:tc>
      </w:tr>
      <w:tr w14:paraId="46531C1D">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282EA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856" w:type="pct"/>
            <w:tcBorders>
              <w:top w:val="nil"/>
              <w:left w:val="nil"/>
              <w:bottom w:val="nil"/>
              <w:right w:val="single" w:color="auto" w:sz="4" w:space="0"/>
            </w:tcBorders>
            <w:shd w:val="clear" w:color="000000" w:fill="FFFFFF"/>
            <w:noWrap/>
            <w:vAlign w:val="center"/>
          </w:tcPr>
          <w:p w14:paraId="3DC1644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事业单位医疗</w:t>
            </w:r>
          </w:p>
        </w:tc>
        <w:tc>
          <w:tcPr>
            <w:tcW w:w="660" w:type="pct"/>
            <w:tcBorders>
              <w:top w:val="nil"/>
              <w:left w:val="nil"/>
              <w:bottom w:val="nil"/>
              <w:right w:val="single" w:color="auto" w:sz="4" w:space="0"/>
            </w:tcBorders>
            <w:shd w:val="clear" w:color="auto" w:fill="auto"/>
            <w:noWrap/>
            <w:vAlign w:val="center"/>
          </w:tcPr>
          <w:p w14:paraId="7DC5D13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7.79 </w:t>
            </w:r>
          </w:p>
        </w:tc>
        <w:tc>
          <w:tcPr>
            <w:tcW w:w="469" w:type="pct"/>
            <w:tcBorders>
              <w:top w:val="nil"/>
              <w:left w:val="nil"/>
              <w:bottom w:val="nil"/>
              <w:right w:val="single" w:color="auto" w:sz="4" w:space="0"/>
            </w:tcBorders>
            <w:shd w:val="clear" w:color="auto" w:fill="auto"/>
            <w:noWrap/>
            <w:vAlign w:val="center"/>
          </w:tcPr>
          <w:p w14:paraId="6D20093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7.79 </w:t>
            </w:r>
          </w:p>
        </w:tc>
        <w:tc>
          <w:tcPr>
            <w:tcW w:w="469" w:type="pct"/>
            <w:tcBorders>
              <w:top w:val="nil"/>
              <w:left w:val="nil"/>
              <w:bottom w:val="nil"/>
              <w:right w:val="single" w:color="auto" w:sz="4" w:space="0"/>
            </w:tcBorders>
            <w:shd w:val="clear" w:color="auto" w:fill="auto"/>
            <w:noWrap/>
            <w:vAlign w:val="center"/>
          </w:tcPr>
          <w:p w14:paraId="10EE2A74">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1B13A366">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5C2A89EB">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210808F3">
            <w:pPr>
              <w:widowControl/>
              <w:jc w:val="right"/>
              <w:rPr>
                <w:rFonts w:ascii="Times New Roman" w:hAnsi="Times New Roman" w:eastAsia="仿宋_GB2312" w:cs="Times New Roman"/>
                <w:kern w:val="0"/>
                <w:sz w:val="24"/>
                <w:szCs w:val="24"/>
              </w:rPr>
            </w:pPr>
          </w:p>
        </w:tc>
      </w:tr>
      <w:tr w14:paraId="417CEF5D">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3920A47">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216</w:t>
            </w:r>
          </w:p>
        </w:tc>
        <w:tc>
          <w:tcPr>
            <w:tcW w:w="856" w:type="pct"/>
            <w:tcBorders>
              <w:top w:val="nil"/>
              <w:left w:val="nil"/>
              <w:bottom w:val="nil"/>
              <w:right w:val="single" w:color="auto" w:sz="4" w:space="0"/>
            </w:tcBorders>
            <w:shd w:val="clear" w:color="000000" w:fill="FFFFFF"/>
            <w:noWrap/>
            <w:vAlign w:val="center"/>
          </w:tcPr>
          <w:p w14:paraId="4AF8795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商业服务业等支出</w:t>
            </w:r>
          </w:p>
        </w:tc>
        <w:tc>
          <w:tcPr>
            <w:tcW w:w="660" w:type="pct"/>
            <w:tcBorders>
              <w:top w:val="nil"/>
              <w:left w:val="nil"/>
              <w:bottom w:val="nil"/>
              <w:right w:val="single" w:color="auto" w:sz="4" w:space="0"/>
            </w:tcBorders>
            <w:shd w:val="clear" w:color="auto" w:fill="auto"/>
            <w:noWrap/>
            <w:vAlign w:val="center"/>
          </w:tcPr>
          <w:p w14:paraId="325A7B6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146.21 </w:t>
            </w:r>
          </w:p>
        </w:tc>
        <w:tc>
          <w:tcPr>
            <w:tcW w:w="469" w:type="pct"/>
            <w:tcBorders>
              <w:top w:val="nil"/>
              <w:left w:val="nil"/>
              <w:bottom w:val="nil"/>
              <w:right w:val="single" w:color="auto" w:sz="4" w:space="0"/>
            </w:tcBorders>
            <w:shd w:val="clear" w:color="auto" w:fill="auto"/>
            <w:noWrap/>
            <w:vAlign w:val="center"/>
          </w:tcPr>
          <w:p w14:paraId="71E0AD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146.21</w:t>
            </w:r>
          </w:p>
        </w:tc>
        <w:tc>
          <w:tcPr>
            <w:tcW w:w="469" w:type="pct"/>
            <w:tcBorders>
              <w:top w:val="nil"/>
              <w:left w:val="nil"/>
              <w:bottom w:val="nil"/>
              <w:right w:val="single" w:color="auto" w:sz="4" w:space="0"/>
            </w:tcBorders>
            <w:shd w:val="clear" w:color="auto" w:fill="auto"/>
            <w:noWrap/>
            <w:vAlign w:val="center"/>
          </w:tcPr>
          <w:p w14:paraId="5A75CEFA">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26A430BB">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24611715">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4E6B93D0">
            <w:pPr>
              <w:widowControl/>
              <w:jc w:val="right"/>
              <w:rPr>
                <w:rFonts w:ascii="Times New Roman" w:hAnsi="Times New Roman" w:eastAsia="仿宋_GB2312" w:cs="Times New Roman"/>
                <w:kern w:val="0"/>
                <w:sz w:val="24"/>
                <w:szCs w:val="24"/>
              </w:rPr>
            </w:pPr>
          </w:p>
        </w:tc>
      </w:tr>
      <w:tr w14:paraId="2B83062A">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90A148">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21602</w:t>
            </w:r>
          </w:p>
        </w:tc>
        <w:tc>
          <w:tcPr>
            <w:tcW w:w="856" w:type="pct"/>
            <w:tcBorders>
              <w:top w:val="nil"/>
              <w:left w:val="nil"/>
              <w:bottom w:val="nil"/>
              <w:right w:val="single" w:color="auto" w:sz="4" w:space="0"/>
            </w:tcBorders>
            <w:shd w:val="clear" w:color="000000" w:fill="FFFFFF"/>
            <w:noWrap/>
            <w:vAlign w:val="center"/>
          </w:tcPr>
          <w:p w14:paraId="12AB36B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商业流通事务</w:t>
            </w:r>
          </w:p>
        </w:tc>
        <w:tc>
          <w:tcPr>
            <w:tcW w:w="660" w:type="pct"/>
            <w:tcBorders>
              <w:top w:val="nil"/>
              <w:left w:val="nil"/>
              <w:bottom w:val="nil"/>
              <w:right w:val="single" w:color="auto" w:sz="4" w:space="0"/>
            </w:tcBorders>
            <w:shd w:val="clear" w:color="auto" w:fill="auto"/>
            <w:noWrap/>
            <w:vAlign w:val="center"/>
          </w:tcPr>
          <w:p w14:paraId="7D4E804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145.97 </w:t>
            </w:r>
          </w:p>
        </w:tc>
        <w:tc>
          <w:tcPr>
            <w:tcW w:w="469" w:type="pct"/>
            <w:tcBorders>
              <w:top w:val="nil"/>
              <w:left w:val="nil"/>
              <w:bottom w:val="nil"/>
              <w:right w:val="single" w:color="auto" w:sz="4" w:space="0"/>
            </w:tcBorders>
            <w:shd w:val="clear" w:color="auto" w:fill="auto"/>
            <w:noWrap/>
            <w:vAlign w:val="center"/>
          </w:tcPr>
          <w:p w14:paraId="7CFE9A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145.97</w:t>
            </w:r>
          </w:p>
        </w:tc>
        <w:tc>
          <w:tcPr>
            <w:tcW w:w="469" w:type="pct"/>
            <w:tcBorders>
              <w:top w:val="nil"/>
              <w:left w:val="nil"/>
              <w:bottom w:val="nil"/>
              <w:right w:val="single" w:color="auto" w:sz="4" w:space="0"/>
            </w:tcBorders>
            <w:shd w:val="clear" w:color="auto" w:fill="auto"/>
            <w:noWrap/>
            <w:vAlign w:val="center"/>
          </w:tcPr>
          <w:p w14:paraId="69864DE4">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060CCF97">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6ABD4064">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4D39EE35">
            <w:pPr>
              <w:widowControl/>
              <w:jc w:val="right"/>
              <w:rPr>
                <w:rFonts w:ascii="Times New Roman" w:hAnsi="Times New Roman" w:eastAsia="仿宋_GB2312" w:cs="Times New Roman"/>
                <w:kern w:val="0"/>
                <w:sz w:val="24"/>
                <w:szCs w:val="24"/>
              </w:rPr>
            </w:pPr>
          </w:p>
        </w:tc>
      </w:tr>
      <w:tr w14:paraId="3D97C872">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695DDE">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21602</w:t>
            </w:r>
            <w:r>
              <w:rPr>
                <w:rFonts w:hint="eastAsia" w:ascii="Times New Roman" w:hAnsi="Times New Roman" w:eastAsia="仿宋_GB2312" w:cs="Times New Roman"/>
                <w:lang w:val="en-US" w:eastAsia="zh-CN"/>
              </w:rPr>
              <w:t>01</w:t>
            </w:r>
          </w:p>
        </w:tc>
        <w:tc>
          <w:tcPr>
            <w:tcW w:w="856" w:type="pct"/>
            <w:tcBorders>
              <w:top w:val="nil"/>
              <w:left w:val="nil"/>
              <w:bottom w:val="nil"/>
              <w:right w:val="single" w:color="auto" w:sz="4" w:space="0"/>
            </w:tcBorders>
            <w:shd w:val="clear" w:color="000000" w:fill="FFFFFF"/>
            <w:noWrap/>
            <w:vAlign w:val="center"/>
          </w:tcPr>
          <w:p w14:paraId="54AB975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660" w:type="pct"/>
            <w:tcBorders>
              <w:top w:val="nil"/>
              <w:left w:val="nil"/>
              <w:bottom w:val="nil"/>
              <w:right w:val="single" w:color="auto" w:sz="4" w:space="0"/>
            </w:tcBorders>
            <w:shd w:val="clear" w:color="auto" w:fill="auto"/>
            <w:noWrap/>
            <w:vAlign w:val="center"/>
          </w:tcPr>
          <w:p w14:paraId="280CB3C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145.97 </w:t>
            </w:r>
          </w:p>
        </w:tc>
        <w:tc>
          <w:tcPr>
            <w:tcW w:w="469" w:type="pct"/>
            <w:tcBorders>
              <w:top w:val="nil"/>
              <w:left w:val="nil"/>
              <w:bottom w:val="nil"/>
              <w:right w:val="single" w:color="auto" w:sz="4" w:space="0"/>
            </w:tcBorders>
            <w:shd w:val="clear" w:color="auto" w:fill="auto"/>
            <w:noWrap/>
            <w:vAlign w:val="center"/>
          </w:tcPr>
          <w:p w14:paraId="34BB259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145.97</w:t>
            </w:r>
          </w:p>
        </w:tc>
        <w:tc>
          <w:tcPr>
            <w:tcW w:w="469" w:type="pct"/>
            <w:tcBorders>
              <w:top w:val="nil"/>
              <w:left w:val="nil"/>
              <w:bottom w:val="nil"/>
              <w:right w:val="single" w:color="auto" w:sz="4" w:space="0"/>
            </w:tcBorders>
            <w:shd w:val="clear" w:color="auto" w:fill="auto"/>
            <w:noWrap/>
            <w:vAlign w:val="center"/>
          </w:tcPr>
          <w:p w14:paraId="7FB7B5D0">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023F0F6B">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2FEBCBAF">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4553FD95">
            <w:pPr>
              <w:widowControl/>
              <w:jc w:val="right"/>
              <w:rPr>
                <w:rFonts w:ascii="Times New Roman" w:hAnsi="Times New Roman" w:eastAsia="仿宋_GB2312" w:cs="Times New Roman"/>
                <w:kern w:val="0"/>
                <w:sz w:val="24"/>
                <w:szCs w:val="24"/>
              </w:rPr>
            </w:pPr>
          </w:p>
        </w:tc>
      </w:tr>
      <w:tr w14:paraId="592D1419">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9546FF">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21606</w:t>
            </w:r>
          </w:p>
        </w:tc>
        <w:tc>
          <w:tcPr>
            <w:tcW w:w="856" w:type="pct"/>
            <w:tcBorders>
              <w:top w:val="nil"/>
              <w:left w:val="nil"/>
              <w:bottom w:val="nil"/>
              <w:right w:val="single" w:color="auto" w:sz="4" w:space="0"/>
            </w:tcBorders>
            <w:shd w:val="clear" w:color="000000" w:fill="FFFFFF"/>
            <w:noWrap/>
            <w:vAlign w:val="center"/>
          </w:tcPr>
          <w:p w14:paraId="6E94C3E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涉外发展服务支出</w:t>
            </w:r>
          </w:p>
        </w:tc>
        <w:tc>
          <w:tcPr>
            <w:tcW w:w="660" w:type="pct"/>
            <w:tcBorders>
              <w:top w:val="nil"/>
              <w:left w:val="nil"/>
              <w:bottom w:val="nil"/>
              <w:right w:val="single" w:color="auto" w:sz="4" w:space="0"/>
            </w:tcBorders>
            <w:shd w:val="clear" w:color="auto" w:fill="auto"/>
            <w:noWrap/>
            <w:vAlign w:val="center"/>
          </w:tcPr>
          <w:p w14:paraId="3886323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c>
          <w:tcPr>
            <w:tcW w:w="469" w:type="pct"/>
            <w:tcBorders>
              <w:top w:val="nil"/>
              <w:left w:val="nil"/>
              <w:bottom w:val="nil"/>
              <w:right w:val="single" w:color="auto" w:sz="4" w:space="0"/>
            </w:tcBorders>
            <w:shd w:val="clear" w:color="auto" w:fill="auto"/>
            <w:noWrap/>
            <w:vAlign w:val="center"/>
          </w:tcPr>
          <w:p w14:paraId="5F3E60D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c>
          <w:tcPr>
            <w:tcW w:w="469" w:type="pct"/>
            <w:tcBorders>
              <w:top w:val="nil"/>
              <w:left w:val="nil"/>
              <w:bottom w:val="nil"/>
              <w:right w:val="single" w:color="auto" w:sz="4" w:space="0"/>
            </w:tcBorders>
            <w:shd w:val="clear" w:color="auto" w:fill="auto"/>
            <w:noWrap/>
            <w:vAlign w:val="center"/>
          </w:tcPr>
          <w:p w14:paraId="6876A938">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14:paraId="1BB9881F">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14:paraId="191845D7">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14:paraId="4F5BD180">
            <w:pPr>
              <w:widowControl/>
              <w:jc w:val="right"/>
              <w:rPr>
                <w:rFonts w:ascii="Times New Roman" w:hAnsi="Times New Roman" w:eastAsia="仿宋_GB2312" w:cs="Times New Roman"/>
                <w:kern w:val="0"/>
                <w:sz w:val="24"/>
                <w:szCs w:val="24"/>
              </w:rPr>
            </w:pPr>
          </w:p>
        </w:tc>
      </w:tr>
      <w:tr w14:paraId="5D7865D2">
        <w:tblPrEx>
          <w:tblCellMar>
            <w:top w:w="0" w:type="dxa"/>
            <w:left w:w="108" w:type="dxa"/>
            <w:bottom w:w="0" w:type="dxa"/>
            <w:right w:w="108" w:type="dxa"/>
          </w:tblCellMar>
        </w:tblPrEx>
        <w:trPr>
          <w:trHeight w:val="595" w:hRule="atLeast"/>
          <w:jc w:val="center"/>
        </w:trPr>
        <w:tc>
          <w:tcPr>
            <w:tcW w:w="46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A5090B">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21606</w:t>
            </w:r>
            <w:r>
              <w:rPr>
                <w:rFonts w:hint="eastAsia" w:ascii="Times New Roman" w:hAnsi="Times New Roman" w:eastAsia="仿宋_GB2312" w:cs="Times New Roman"/>
                <w:lang w:val="en-US" w:eastAsia="zh-CN"/>
              </w:rPr>
              <w:t>01</w:t>
            </w:r>
          </w:p>
        </w:tc>
        <w:tc>
          <w:tcPr>
            <w:tcW w:w="856" w:type="pct"/>
            <w:tcBorders>
              <w:top w:val="nil"/>
              <w:left w:val="nil"/>
              <w:bottom w:val="single" w:color="auto" w:sz="4" w:space="0"/>
              <w:right w:val="single" w:color="auto" w:sz="4" w:space="0"/>
            </w:tcBorders>
            <w:shd w:val="clear" w:color="000000" w:fill="FFFFFF"/>
            <w:noWrap/>
            <w:vAlign w:val="center"/>
          </w:tcPr>
          <w:p w14:paraId="09CF58D2">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660" w:type="pct"/>
            <w:tcBorders>
              <w:top w:val="nil"/>
              <w:left w:val="nil"/>
              <w:bottom w:val="single" w:color="auto" w:sz="4" w:space="0"/>
              <w:right w:val="single" w:color="auto" w:sz="4" w:space="0"/>
            </w:tcBorders>
            <w:shd w:val="clear" w:color="auto" w:fill="auto"/>
            <w:noWrap/>
            <w:vAlign w:val="center"/>
          </w:tcPr>
          <w:p w14:paraId="41B0F42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0.25 </w:t>
            </w:r>
          </w:p>
        </w:tc>
        <w:tc>
          <w:tcPr>
            <w:tcW w:w="469" w:type="pct"/>
            <w:tcBorders>
              <w:top w:val="nil"/>
              <w:left w:val="nil"/>
              <w:bottom w:val="single" w:color="auto" w:sz="4" w:space="0"/>
              <w:right w:val="single" w:color="auto" w:sz="4" w:space="0"/>
            </w:tcBorders>
            <w:shd w:val="clear" w:color="auto" w:fill="auto"/>
            <w:noWrap/>
            <w:vAlign w:val="center"/>
          </w:tcPr>
          <w:p w14:paraId="2146E44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0.25 </w:t>
            </w:r>
          </w:p>
        </w:tc>
        <w:tc>
          <w:tcPr>
            <w:tcW w:w="469" w:type="pct"/>
            <w:tcBorders>
              <w:top w:val="nil"/>
              <w:left w:val="nil"/>
              <w:bottom w:val="single" w:color="auto" w:sz="4" w:space="0"/>
              <w:right w:val="single" w:color="auto" w:sz="4" w:space="0"/>
            </w:tcBorders>
            <w:shd w:val="clear" w:color="auto" w:fill="auto"/>
            <w:noWrap/>
            <w:vAlign w:val="center"/>
          </w:tcPr>
          <w:p w14:paraId="33F46BA1">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4E1F08C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D2B741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A9B0E91">
            <w:pPr>
              <w:widowControl/>
              <w:jc w:val="right"/>
              <w:rPr>
                <w:rFonts w:ascii="Times New Roman" w:hAnsi="Times New Roman" w:eastAsia="仿宋_GB2312" w:cs="Times New Roman"/>
                <w:kern w:val="0"/>
                <w:sz w:val="24"/>
                <w:szCs w:val="24"/>
              </w:rPr>
            </w:pPr>
          </w:p>
        </w:tc>
      </w:tr>
    </w:tbl>
    <w:p w14:paraId="2A0F5E1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40A356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24A7A9B">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03EE97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B5B534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8E6D9F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467D37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587807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36A413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169DDDE">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蓝山县商业与物资企业改制服务办公室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876"/>
        <w:gridCol w:w="2636"/>
        <w:gridCol w:w="616"/>
        <w:gridCol w:w="876"/>
        <w:gridCol w:w="1786"/>
        <w:gridCol w:w="1592"/>
        <w:gridCol w:w="1706"/>
      </w:tblGrid>
      <w:tr w14:paraId="10CB9084">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AA73A6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F65E1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01D9E27">
        <w:tblPrEx>
          <w:tblCellMar>
            <w:top w:w="0" w:type="dxa"/>
            <w:left w:w="108" w:type="dxa"/>
            <w:bottom w:w="0" w:type="dxa"/>
            <w:right w:w="108" w:type="dxa"/>
          </w:tblCellMar>
        </w:tblPrEx>
        <w:trPr>
          <w:trHeight w:val="75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4C1A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E7E5EB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B1E95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7CADF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86CAD0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2C2C0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4C982C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7D46E0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BA276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5D21D2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783F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5BBA1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99F39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ADBC2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79A92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FC75E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455EBF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0C510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0B0D6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32A6E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BAB0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B2121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A072A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191.62 </w:t>
            </w:r>
          </w:p>
        </w:tc>
        <w:tc>
          <w:tcPr>
            <w:tcW w:w="0" w:type="auto"/>
            <w:tcBorders>
              <w:top w:val="nil"/>
              <w:left w:val="nil"/>
              <w:bottom w:val="single" w:color="auto" w:sz="4" w:space="0"/>
              <w:right w:val="single" w:color="auto" w:sz="4" w:space="0"/>
            </w:tcBorders>
            <w:shd w:val="clear" w:color="auto" w:fill="auto"/>
            <w:noWrap/>
            <w:vAlign w:val="center"/>
          </w:tcPr>
          <w:p w14:paraId="0FCF9A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35902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F83BE0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0" w:type="auto"/>
            <w:tcBorders>
              <w:top w:val="nil"/>
              <w:left w:val="nil"/>
              <w:bottom w:val="single" w:color="auto" w:sz="4" w:space="0"/>
              <w:right w:val="single" w:color="auto" w:sz="4" w:space="0"/>
            </w:tcBorders>
            <w:shd w:val="clear" w:color="auto" w:fill="auto"/>
            <w:noWrap/>
            <w:vAlign w:val="center"/>
          </w:tcPr>
          <w:p w14:paraId="16A3323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0" w:type="auto"/>
            <w:tcBorders>
              <w:top w:val="nil"/>
              <w:left w:val="nil"/>
              <w:bottom w:val="single" w:color="auto" w:sz="4" w:space="0"/>
              <w:right w:val="single" w:color="auto" w:sz="4" w:space="0"/>
            </w:tcBorders>
            <w:shd w:val="clear" w:color="auto" w:fill="auto"/>
            <w:noWrap/>
            <w:vAlign w:val="center"/>
          </w:tcPr>
          <w:p w14:paraId="036F5F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4B48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B3B19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4ABC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32272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E39884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EBB0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510438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EE0523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A98E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38.27</w:t>
            </w:r>
          </w:p>
        </w:tc>
        <w:tc>
          <w:tcPr>
            <w:tcW w:w="0" w:type="auto"/>
            <w:tcBorders>
              <w:top w:val="nil"/>
              <w:left w:val="nil"/>
              <w:bottom w:val="single" w:color="auto" w:sz="4" w:space="0"/>
              <w:right w:val="single" w:color="auto" w:sz="4" w:space="0"/>
            </w:tcBorders>
            <w:shd w:val="clear" w:color="auto" w:fill="auto"/>
            <w:noWrap/>
            <w:vAlign w:val="center"/>
          </w:tcPr>
          <w:p w14:paraId="29BDB1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AC9C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C8DC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518F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1F623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3DA7F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EE07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68D408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406F96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7.79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96520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7.79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EF9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1D438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E00BC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B9BBF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5688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55B3D6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DED45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2734E6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1410EDC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145.12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EC00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145.12</w:t>
            </w:r>
          </w:p>
        </w:tc>
        <w:tc>
          <w:tcPr>
            <w:tcW w:w="0" w:type="auto"/>
            <w:tcBorders>
              <w:top w:val="nil"/>
              <w:left w:val="nil"/>
              <w:bottom w:val="single" w:color="auto" w:sz="4" w:space="0"/>
              <w:right w:val="single" w:color="auto" w:sz="4" w:space="0"/>
            </w:tcBorders>
            <w:shd w:val="clear" w:color="auto" w:fill="auto"/>
            <w:noWrap/>
            <w:vAlign w:val="center"/>
          </w:tcPr>
          <w:p w14:paraId="10DBE5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4EAE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EC0E0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48FA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4ED1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628D6B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48E15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7C155F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63944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DA93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AAA9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683F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289E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A634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AFB4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5445F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17ED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74C36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A8FA2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0934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68B7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569BF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B6E628">
        <w:tblPrEx>
          <w:tblCellMar>
            <w:top w:w="0" w:type="dxa"/>
            <w:left w:w="108" w:type="dxa"/>
            <w:bottom w:w="0" w:type="dxa"/>
            <w:right w:w="108" w:type="dxa"/>
          </w:tblCellMar>
        </w:tblPrEx>
        <w:trPr>
          <w:trHeight w:val="22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23FD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269F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869F9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C8FDD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3CA584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6165E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128A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D7EB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E012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FA0199">
        <w:tblPrEx>
          <w:tblCellMar>
            <w:top w:w="0" w:type="dxa"/>
            <w:left w:w="108" w:type="dxa"/>
            <w:bottom w:w="0" w:type="dxa"/>
            <w:right w:w="108" w:type="dxa"/>
          </w:tblCellMar>
        </w:tblPrEx>
        <w:trPr>
          <w:trHeight w:val="20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D67B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7675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FF5C6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1C669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E208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5934B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6038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F5BC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A40C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AEB7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56708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B474E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C3AEE3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191.62 </w:t>
            </w:r>
          </w:p>
        </w:tc>
        <w:tc>
          <w:tcPr>
            <w:tcW w:w="0" w:type="auto"/>
            <w:tcBorders>
              <w:top w:val="nil"/>
              <w:left w:val="nil"/>
              <w:bottom w:val="single" w:color="auto" w:sz="4" w:space="0"/>
              <w:right w:val="single" w:color="auto" w:sz="4" w:space="0"/>
            </w:tcBorders>
            <w:shd w:val="clear" w:color="auto" w:fill="auto"/>
            <w:noWrap/>
            <w:vAlign w:val="center"/>
          </w:tcPr>
          <w:p w14:paraId="1DF6294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197C9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7867FED">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191.62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5562C2">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191.62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676F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4C6B2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BB0679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B0C9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EB4AE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6A5EBCB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F133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0588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BC415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740D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A36F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86FD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FB25DF2">
        <w:tblPrEx>
          <w:tblCellMar>
            <w:top w:w="0" w:type="dxa"/>
            <w:left w:w="108" w:type="dxa"/>
            <w:bottom w:w="0" w:type="dxa"/>
            <w:right w:w="108" w:type="dxa"/>
          </w:tblCellMar>
        </w:tblPrEx>
        <w:trPr>
          <w:trHeight w:val="17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5899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5B54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3A4F7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65E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80DD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6A88E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2E46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B0DD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8070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6698D9">
        <w:tblPrEx>
          <w:tblCellMar>
            <w:top w:w="0" w:type="dxa"/>
            <w:left w:w="108" w:type="dxa"/>
            <w:bottom w:w="0" w:type="dxa"/>
            <w:right w:w="108" w:type="dxa"/>
          </w:tblCellMar>
        </w:tblPrEx>
        <w:trPr>
          <w:trHeight w:val="16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64CB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1002C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4EB08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87D7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1664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49544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F3B7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9A07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398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4A69CB">
        <w:tblPrEx>
          <w:tblCellMar>
            <w:top w:w="0" w:type="dxa"/>
            <w:left w:w="108" w:type="dxa"/>
            <w:bottom w:w="0" w:type="dxa"/>
            <w:right w:w="108" w:type="dxa"/>
          </w:tblCellMar>
        </w:tblPrEx>
        <w:trPr>
          <w:trHeight w:val="22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3932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098D7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B2B1A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4FB4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1B17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407C8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34BF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5C86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BDE2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743B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BBC938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8FD57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858841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191.62 </w:t>
            </w:r>
          </w:p>
        </w:tc>
        <w:tc>
          <w:tcPr>
            <w:tcW w:w="0" w:type="auto"/>
            <w:tcBorders>
              <w:top w:val="nil"/>
              <w:left w:val="nil"/>
              <w:bottom w:val="single" w:color="auto" w:sz="4" w:space="0"/>
              <w:right w:val="single" w:color="auto" w:sz="4" w:space="0"/>
            </w:tcBorders>
            <w:shd w:val="clear" w:color="000000" w:fill="FFFFFF"/>
            <w:noWrap/>
            <w:vAlign w:val="center"/>
          </w:tcPr>
          <w:p w14:paraId="2C3502E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77C7F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29A82F2B">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191.62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5C02541">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191.62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C851C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5A89C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BC4278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7B1541E">
      <w:pPr>
        <w:widowControl/>
        <w:jc w:val="center"/>
        <w:rPr>
          <w:rFonts w:ascii="Times New Roman" w:hAnsi="Times New Roman" w:eastAsia="方正小标宋_GBK" w:cs="Times New Roman"/>
          <w:kern w:val="0"/>
          <w:sz w:val="36"/>
          <w:szCs w:val="36"/>
        </w:rPr>
      </w:pPr>
    </w:p>
    <w:p w14:paraId="4E55F6D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4A27BB8">
      <w:pPr>
        <w:widowControl/>
        <w:spacing w:before="156" w:beforeLines="50"/>
        <w:ind w:left="11550" w:hanging="11550" w:hangingChars="55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蓝山县商业与物资企业改制服务办公室</w:t>
      </w:r>
      <w:r>
        <w:rPr>
          <w:rFonts w:ascii="Times New Roman" w:hAnsi="Times New Roman" w:eastAsia="仿宋_GB2312" w:cs="Times New Roman"/>
          <w:color w:val="000000"/>
          <w:kern w:val="0"/>
          <w:szCs w:val="21"/>
        </w:rPr>
        <w:t xml:space="preserve">                                                                                                     公开05表</w:t>
      </w:r>
    </w:p>
    <w:p w14:paraId="7338D9C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5A39002">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CD361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C24F3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89E000D">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ED570D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922059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2CA78B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8B7D0A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8AACC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64231F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14526F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1AEE0A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1A7F2A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2462E4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666677C">
            <w:pPr>
              <w:widowControl/>
              <w:jc w:val="left"/>
              <w:rPr>
                <w:rFonts w:ascii="Times New Roman" w:hAnsi="Times New Roman" w:eastAsia="仿宋_GB2312" w:cs="Times New Roman"/>
                <w:kern w:val="0"/>
                <w:szCs w:val="21"/>
              </w:rPr>
            </w:pPr>
          </w:p>
        </w:tc>
      </w:tr>
      <w:tr w14:paraId="16C8ACE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8FDA61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00F71F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2F562A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CB860A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1E550B5">
            <w:pPr>
              <w:widowControl/>
              <w:jc w:val="left"/>
              <w:rPr>
                <w:rFonts w:ascii="Times New Roman" w:hAnsi="Times New Roman" w:eastAsia="仿宋_GB2312" w:cs="Times New Roman"/>
                <w:kern w:val="0"/>
                <w:szCs w:val="21"/>
              </w:rPr>
            </w:pPr>
          </w:p>
        </w:tc>
      </w:tr>
      <w:tr w14:paraId="276975F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E4DB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D02E6B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895C5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BB568A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BACF6F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92658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1D6C486">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191.62 </w:t>
            </w:r>
          </w:p>
        </w:tc>
        <w:tc>
          <w:tcPr>
            <w:tcW w:w="3492" w:type="dxa"/>
            <w:tcBorders>
              <w:top w:val="nil"/>
              <w:left w:val="nil"/>
              <w:bottom w:val="single" w:color="auto" w:sz="4" w:space="0"/>
              <w:right w:val="single" w:color="auto" w:sz="4" w:space="0"/>
            </w:tcBorders>
            <w:shd w:val="clear" w:color="auto" w:fill="auto"/>
            <w:vAlign w:val="center"/>
          </w:tcPr>
          <w:p w14:paraId="6AC9512C">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191.62 </w:t>
            </w:r>
          </w:p>
        </w:tc>
        <w:tc>
          <w:tcPr>
            <w:tcW w:w="3000" w:type="dxa"/>
            <w:tcBorders>
              <w:top w:val="nil"/>
              <w:left w:val="nil"/>
              <w:bottom w:val="single" w:color="auto" w:sz="4" w:space="0"/>
              <w:right w:val="single" w:color="auto" w:sz="8" w:space="0"/>
            </w:tcBorders>
            <w:shd w:val="clear" w:color="auto" w:fill="auto"/>
            <w:vAlign w:val="center"/>
          </w:tcPr>
          <w:p w14:paraId="77EE5DCE">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r>
      <w:tr w14:paraId="720D47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5DF0FD">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w:t>
            </w:r>
          </w:p>
        </w:tc>
        <w:tc>
          <w:tcPr>
            <w:tcW w:w="3527" w:type="dxa"/>
            <w:tcBorders>
              <w:top w:val="nil"/>
              <w:left w:val="nil"/>
              <w:bottom w:val="single" w:color="auto" w:sz="4" w:space="0"/>
              <w:right w:val="single" w:color="auto" w:sz="4" w:space="0"/>
            </w:tcBorders>
            <w:shd w:val="clear" w:color="auto" w:fill="auto"/>
            <w:vAlign w:val="center"/>
          </w:tcPr>
          <w:p w14:paraId="6B514C8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14012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3492" w:type="dxa"/>
            <w:tcBorders>
              <w:top w:val="nil"/>
              <w:left w:val="nil"/>
              <w:bottom w:val="single" w:color="auto" w:sz="4" w:space="0"/>
              <w:right w:val="single" w:color="auto" w:sz="4" w:space="0"/>
            </w:tcBorders>
            <w:shd w:val="clear" w:color="auto" w:fill="auto"/>
            <w:vAlign w:val="center"/>
          </w:tcPr>
          <w:p w14:paraId="7D357FB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3000" w:type="dxa"/>
            <w:tcBorders>
              <w:top w:val="nil"/>
              <w:left w:val="nil"/>
              <w:bottom w:val="single" w:color="auto" w:sz="4" w:space="0"/>
              <w:right w:val="single" w:color="auto" w:sz="8" w:space="0"/>
            </w:tcBorders>
            <w:shd w:val="clear" w:color="auto" w:fill="auto"/>
            <w:vAlign w:val="center"/>
          </w:tcPr>
          <w:p w14:paraId="59DB5F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E6C06F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D37A56">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20199</w:t>
            </w:r>
          </w:p>
        </w:tc>
        <w:tc>
          <w:tcPr>
            <w:tcW w:w="3527" w:type="dxa"/>
            <w:tcBorders>
              <w:top w:val="nil"/>
              <w:left w:val="nil"/>
              <w:bottom w:val="single" w:color="auto" w:sz="4" w:space="0"/>
              <w:right w:val="single" w:color="auto" w:sz="4" w:space="0"/>
            </w:tcBorders>
            <w:shd w:val="clear" w:color="auto" w:fill="auto"/>
            <w:vAlign w:val="center"/>
          </w:tcPr>
          <w:p w14:paraId="61FE485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0732AFF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3492" w:type="dxa"/>
            <w:tcBorders>
              <w:top w:val="nil"/>
              <w:left w:val="nil"/>
              <w:bottom w:val="single" w:color="auto" w:sz="4" w:space="0"/>
              <w:right w:val="single" w:color="auto" w:sz="4" w:space="0"/>
            </w:tcBorders>
            <w:shd w:val="clear" w:color="auto" w:fill="auto"/>
            <w:vAlign w:val="center"/>
          </w:tcPr>
          <w:p w14:paraId="7133884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0.45 </w:t>
            </w:r>
          </w:p>
        </w:tc>
        <w:tc>
          <w:tcPr>
            <w:tcW w:w="3000" w:type="dxa"/>
            <w:tcBorders>
              <w:top w:val="nil"/>
              <w:left w:val="nil"/>
              <w:bottom w:val="single" w:color="auto" w:sz="4" w:space="0"/>
              <w:right w:val="single" w:color="auto" w:sz="8" w:space="0"/>
            </w:tcBorders>
            <w:shd w:val="clear" w:color="auto" w:fill="auto"/>
            <w:vAlign w:val="center"/>
          </w:tcPr>
          <w:p w14:paraId="37638E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D1E8A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E8616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9999</w:t>
            </w:r>
          </w:p>
        </w:tc>
        <w:tc>
          <w:tcPr>
            <w:tcW w:w="3527" w:type="dxa"/>
            <w:tcBorders>
              <w:top w:val="nil"/>
              <w:left w:val="nil"/>
              <w:bottom w:val="single" w:color="auto" w:sz="4" w:space="0"/>
              <w:right w:val="single" w:color="auto" w:sz="4" w:space="0"/>
            </w:tcBorders>
            <w:shd w:val="clear" w:color="auto" w:fill="auto"/>
            <w:vAlign w:val="center"/>
          </w:tcPr>
          <w:p w14:paraId="4FCD11D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FF955A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3492" w:type="dxa"/>
            <w:tcBorders>
              <w:top w:val="nil"/>
              <w:left w:val="nil"/>
              <w:bottom w:val="single" w:color="auto" w:sz="4" w:space="0"/>
              <w:right w:val="single" w:color="auto" w:sz="4" w:space="0"/>
            </w:tcBorders>
            <w:shd w:val="clear" w:color="auto" w:fill="auto"/>
            <w:vAlign w:val="center"/>
          </w:tcPr>
          <w:p w14:paraId="00D033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0.45 </w:t>
            </w:r>
          </w:p>
        </w:tc>
        <w:tc>
          <w:tcPr>
            <w:tcW w:w="3000" w:type="dxa"/>
            <w:tcBorders>
              <w:top w:val="nil"/>
              <w:left w:val="nil"/>
              <w:bottom w:val="single" w:color="auto" w:sz="4" w:space="0"/>
              <w:right w:val="single" w:color="auto" w:sz="8" w:space="0"/>
            </w:tcBorders>
            <w:shd w:val="clear" w:color="auto" w:fill="auto"/>
            <w:vAlign w:val="center"/>
          </w:tcPr>
          <w:p w14:paraId="33E138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9C1DA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155FB9">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p>
        </w:tc>
        <w:tc>
          <w:tcPr>
            <w:tcW w:w="3527" w:type="dxa"/>
            <w:tcBorders>
              <w:top w:val="nil"/>
              <w:left w:val="nil"/>
              <w:bottom w:val="single" w:color="auto" w:sz="4" w:space="0"/>
              <w:right w:val="single" w:color="auto" w:sz="4" w:space="0"/>
            </w:tcBorders>
            <w:shd w:val="clear" w:color="auto" w:fill="auto"/>
            <w:vAlign w:val="center"/>
          </w:tcPr>
          <w:p w14:paraId="477FC7D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C8DB63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38.27</w:t>
            </w:r>
          </w:p>
        </w:tc>
        <w:tc>
          <w:tcPr>
            <w:tcW w:w="3492" w:type="dxa"/>
            <w:tcBorders>
              <w:top w:val="nil"/>
              <w:left w:val="nil"/>
              <w:bottom w:val="single" w:color="auto" w:sz="4" w:space="0"/>
              <w:right w:val="single" w:color="auto" w:sz="4" w:space="0"/>
            </w:tcBorders>
            <w:shd w:val="clear" w:color="auto" w:fill="auto"/>
            <w:vAlign w:val="center"/>
          </w:tcPr>
          <w:p w14:paraId="29903D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38.27</w:t>
            </w:r>
          </w:p>
        </w:tc>
        <w:tc>
          <w:tcPr>
            <w:tcW w:w="3000" w:type="dxa"/>
            <w:tcBorders>
              <w:top w:val="nil"/>
              <w:left w:val="nil"/>
              <w:bottom w:val="single" w:color="auto" w:sz="4" w:space="0"/>
              <w:right w:val="single" w:color="auto" w:sz="8" w:space="0"/>
            </w:tcBorders>
            <w:shd w:val="clear" w:color="auto" w:fill="auto"/>
            <w:vAlign w:val="center"/>
          </w:tcPr>
          <w:p w14:paraId="768D3A1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D8CC6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C1C7A4">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1DE88B5C">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64B923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33.22 </w:t>
            </w:r>
          </w:p>
        </w:tc>
        <w:tc>
          <w:tcPr>
            <w:tcW w:w="3492" w:type="dxa"/>
            <w:tcBorders>
              <w:top w:val="nil"/>
              <w:left w:val="nil"/>
              <w:bottom w:val="single" w:color="auto" w:sz="4" w:space="0"/>
              <w:right w:val="single" w:color="auto" w:sz="4" w:space="0"/>
            </w:tcBorders>
            <w:shd w:val="clear" w:color="auto" w:fill="auto"/>
            <w:vAlign w:val="center"/>
          </w:tcPr>
          <w:p w14:paraId="71A11E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33.22 </w:t>
            </w:r>
          </w:p>
        </w:tc>
        <w:tc>
          <w:tcPr>
            <w:tcW w:w="3000" w:type="dxa"/>
            <w:tcBorders>
              <w:top w:val="nil"/>
              <w:left w:val="nil"/>
              <w:bottom w:val="single" w:color="auto" w:sz="4" w:space="0"/>
              <w:right w:val="single" w:color="auto" w:sz="8" w:space="0"/>
            </w:tcBorders>
            <w:shd w:val="clear" w:color="auto" w:fill="auto"/>
            <w:vAlign w:val="center"/>
          </w:tcPr>
          <w:p w14:paraId="0AC204A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E0BC9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9C9F6AD">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2080502</w:t>
            </w:r>
          </w:p>
        </w:tc>
        <w:tc>
          <w:tcPr>
            <w:tcW w:w="3527" w:type="dxa"/>
            <w:tcBorders>
              <w:top w:val="nil"/>
              <w:left w:val="nil"/>
              <w:bottom w:val="nil"/>
              <w:right w:val="single" w:color="auto" w:sz="4" w:space="0"/>
            </w:tcBorders>
            <w:shd w:val="clear" w:color="auto" w:fill="auto"/>
            <w:vAlign w:val="center"/>
          </w:tcPr>
          <w:p w14:paraId="688E3D4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事业单位离退休</w:t>
            </w:r>
          </w:p>
        </w:tc>
        <w:tc>
          <w:tcPr>
            <w:tcW w:w="3000" w:type="dxa"/>
            <w:tcBorders>
              <w:top w:val="nil"/>
              <w:left w:val="nil"/>
              <w:bottom w:val="nil"/>
              <w:right w:val="single" w:color="auto" w:sz="4" w:space="0"/>
            </w:tcBorders>
            <w:shd w:val="clear" w:color="auto" w:fill="auto"/>
            <w:vAlign w:val="center"/>
          </w:tcPr>
          <w:p w14:paraId="1E20F19B">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15.9</w:t>
            </w:r>
            <w:r>
              <w:rPr>
                <w:rFonts w:ascii="Times New Roman" w:hAnsi="Times New Roman" w:eastAsia="仿宋_GB2312" w:cs="Times New Roman"/>
              </w:rPr>
              <w:t>　</w:t>
            </w:r>
          </w:p>
        </w:tc>
        <w:tc>
          <w:tcPr>
            <w:tcW w:w="3492" w:type="dxa"/>
            <w:tcBorders>
              <w:top w:val="nil"/>
              <w:left w:val="nil"/>
              <w:bottom w:val="nil"/>
              <w:right w:val="single" w:color="auto" w:sz="4" w:space="0"/>
            </w:tcBorders>
            <w:shd w:val="clear" w:color="auto" w:fill="auto"/>
            <w:vAlign w:val="center"/>
          </w:tcPr>
          <w:p w14:paraId="7A290AD0">
            <w:pPr>
              <w:jc w:val="righ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15.9</w:t>
            </w:r>
            <w:r>
              <w:rPr>
                <w:rFonts w:ascii="Times New Roman" w:hAnsi="Times New Roman" w:eastAsia="仿宋_GB2312" w:cs="Times New Roman"/>
              </w:rPr>
              <w:t>　</w:t>
            </w:r>
          </w:p>
        </w:tc>
        <w:tc>
          <w:tcPr>
            <w:tcW w:w="3000" w:type="dxa"/>
            <w:tcBorders>
              <w:top w:val="nil"/>
              <w:left w:val="nil"/>
              <w:bottom w:val="nil"/>
              <w:right w:val="single" w:color="auto" w:sz="8" w:space="0"/>
            </w:tcBorders>
            <w:shd w:val="clear" w:color="auto" w:fill="auto"/>
            <w:vAlign w:val="center"/>
          </w:tcPr>
          <w:p w14:paraId="575DB9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95C0E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D33258">
            <w:pPr>
              <w:rPr>
                <w:rFonts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527" w:type="dxa"/>
            <w:tcBorders>
              <w:top w:val="nil"/>
              <w:left w:val="nil"/>
              <w:bottom w:val="nil"/>
              <w:right w:val="single" w:color="auto" w:sz="4" w:space="0"/>
            </w:tcBorders>
            <w:shd w:val="clear" w:color="auto" w:fill="auto"/>
            <w:vAlign w:val="center"/>
          </w:tcPr>
          <w:p w14:paraId="4237CC05">
            <w:pPr>
              <w:rPr>
                <w:rFonts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3000" w:type="dxa"/>
            <w:tcBorders>
              <w:top w:val="nil"/>
              <w:left w:val="nil"/>
              <w:bottom w:val="nil"/>
              <w:right w:val="single" w:color="auto" w:sz="4" w:space="0"/>
            </w:tcBorders>
            <w:shd w:val="clear" w:color="auto" w:fill="auto"/>
            <w:vAlign w:val="center"/>
          </w:tcPr>
          <w:p w14:paraId="51E489F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17.32 </w:t>
            </w:r>
          </w:p>
        </w:tc>
        <w:tc>
          <w:tcPr>
            <w:tcW w:w="3492" w:type="dxa"/>
            <w:tcBorders>
              <w:top w:val="nil"/>
              <w:left w:val="nil"/>
              <w:bottom w:val="nil"/>
              <w:right w:val="single" w:color="auto" w:sz="4" w:space="0"/>
            </w:tcBorders>
            <w:shd w:val="clear" w:color="auto" w:fill="auto"/>
            <w:vAlign w:val="center"/>
          </w:tcPr>
          <w:p w14:paraId="495F8C9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17.32 </w:t>
            </w:r>
          </w:p>
        </w:tc>
        <w:tc>
          <w:tcPr>
            <w:tcW w:w="3000" w:type="dxa"/>
            <w:tcBorders>
              <w:top w:val="nil"/>
              <w:left w:val="nil"/>
              <w:bottom w:val="nil"/>
              <w:right w:val="single" w:color="auto" w:sz="8" w:space="0"/>
            </w:tcBorders>
            <w:shd w:val="clear" w:color="auto" w:fill="auto"/>
            <w:vAlign w:val="center"/>
          </w:tcPr>
          <w:p w14:paraId="44C6F2A7">
            <w:pPr>
              <w:widowControl/>
              <w:jc w:val="left"/>
              <w:rPr>
                <w:rFonts w:ascii="Times New Roman" w:hAnsi="Times New Roman" w:eastAsia="仿宋_GB2312" w:cs="Times New Roman"/>
                <w:kern w:val="0"/>
                <w:szCs w:val="21"/>
              </w:rPr>
            </w:pPr>
          </w:p>
        </w:tc>
      </w:tr>
      <w:tr w14:paraId="7CD5EEA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BD0C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3527" w:type="dxa"/>
            <w:tcBorders>
              <w:top w:val="nil"/>
              <w:left w:val="nil"/>
              <w:bottom w:val="nil"/>
              <w:right w:val="single" w:color="auto" w:sz="4" w:space="0"/>
            </w:tcBorders>
            <w:shd w:val="clear" w:color="auto" w:fill="auto"/>
            <w:vAlign w:val="center"/>
          </w:tcPr>
          <w:p w14:paraId="478D98F1">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3000" w:type="dxa"/>
            <w:tcBorders>
              <w:top w:val="nil"/>
              <w:left w:val="nil"/>
              <w:bottom w:val="nil"/>
              <w:right w:val="single" w:color="auto" w:sz="4" w:space="0"/>
            </w:tcBorders>
            <w:shd w:val="clear" w:color="auto" w:fill="auto"/>
            <w:vAlign w:val="center"/>
          </w:tcPr>
          <w:p w14:paraId="05AB50E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w:t>
            </w:r>
          </w:p>
        </w:tc>
        <w:tc>
          <w:tcPr>
            <w:tcW w:w="3492" w:type="dxa"/>
            <w:tcBorders>
              <w:top w:val="nil"/>
              <w:left w:val="nil"/>
              <w:bottom w:val="nil"/>
              <w:right w:val="single" w:color="auto" w:sz="4" w:space="0"/>
            </w:tcBorders>
            <w:shd w:val="clear" w:color="auto" w:fill="auto"/>
            <w:vAlign w:val="center"/>
          </w:tcPr>
          <w:p w14:paraId="40F5490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w:t>
            </w:r>
          </w:p>
        </w:tc>
        <w:tc>
          <w:tcPr>
            <w:tcW w:w="3000" w:type="dxa"/>
            <w:tcBorders>
              <w:top w:val="nil"/>
              <w:left w:val="nil"/>
              <w:bottom w:val="nil"/>
              <w:right w:val="single" w:color="auto" w:sz="8" w:space="0"/>
            </w:tcBorders>
            <w:shd w:val="clear" w:color="auto" w:fill="auto"/>
            <w:vAlign w:val="center"/>
          </w:tcPr>
          <w:p w14:paraId="41D1B2E4">
            <w:pPr>
              <w:widowControl/>
              <w:jc w:val="left"/>
              <w:rPr>
                <w:rFonts w:ascii="Times New Roman" w:hAnsi="Times New Roman" w:eastAsia="仿宋_GB2312" w:cs="Times New Roman"/>
                <w:kern w:val="0"/>
                <w:szCs w:val="21"/>
              </w:rPr>
            </w:pPr>
          </w:p>
        </w:tc>
      </w:tr>
      <w:tr w14:paraId="456159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456FD3">
            <w:pPr>
              <w:rPr>
                <w:rFonts w:hint="eastAsia"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3527" w:type="dxa"/>
            <w:tcBorders>
              <w:top w:val="nil"/>
              <w:left w:val="nil"/>
              <w:bottom w:val="nil"/>
              <w:right w:val="single" w:color="auto" w:sz="4" w:space="0"/>
            </w:tcBorders>
            <w:shd w:val="clear" w:color="auto" w:fill="auto"/>
            <w:vAlign w:val="center"/>
          </w:tcPr>
          <w:p w14:paraId="6F9B43AC">
            <w:pPr>
              <w:rPr>
                <w:rFonts w:hint="eastAsia" w:ascii="Times New Roman" w:hAnsi="Times New Roman" w:eastAsia="仿宋_GB2312" w:cs="Times New Roman"/>
                <w:kern w:val="2"/>
                <w:sz w:val="21"/>
                <w:szCs w:val="22"/>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3000" w:type="dxa"/>
            <w:tcBorders>
              <w:top w:val="nil"/>
              <w:left w:val="nil"/>
              <w:bottom w:val="nil"/>
              <w:right w:val="single" w:color="auto" w:sz="4" w:space="0"/>
            </w:tcBorders>
            <w:shd w:val="clear" w:color="auto" w:fill="auto"/>
            <w:vAlign w:val="center"/>
          </w:tcPr>
          <w:p w14:paraId="12A4876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4.34 </w:t>
            </w:r>
          </w:p>
        </w:tc>
        <w:tc>
          <w:tcPr>
            <w:tcW w:w="3492" w:type="dxa"/>
            <w:tcBorders>
              <w:top w:val="nil"/>
              <w:left w:val="nil"/>
              <w:bottom w:val="nil"/>
              <w:right w:val="single" w:color="auto" w:sz="4" w:space="0"/>
            </w:tcBorders>
            <w:shd w:val="clear" w:color="auto" w:fill="auto"/>
            <w:vAlign w:val="center"/>
          </w:tcPr>
          <w:p w14:paraId="46D6337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4.34 </w:t>
            </w:r>
          </w:p>
        </w:tc>
        <w:tc>
          <w:tcPr>
            <w:tcW w:w="3000" w:type="dxa"/>
            <w:tcBorders>
              <w:top w:val="nil"/>
              <w:left w:val="nil"/>
              <w:bottom w:val="nil"/>
              <w:right w:val="single" w:color="auto" w:sz="8" w:space="0"/>
            </w:tcBorders>
            <w:shd w:val="clear" w:color="auto" w:fill="auto"/>
            <w:vAlign w:val="center"/>
          </w:tcPr>
          <w:p w14:paraId="7EFAF537">
            <w:pPr>
              <w:widowControl/>
              <w:jc w:val="left"/>
              <w:rPr>
                <w:rFonts w:ascii="Times New Roman" w:hAnsi="Times New Roman" w:eastAsia="仿宋_GB2312" w:cs="Times New Roman"/>
                <w:kern w:val="0"/>
                <w:szCs w:val="21"/>
              </w:rPr>
            </w:pPr>
          </w:p>
        </w:tc>
      </w:tr>
      <w:tr w14:paraId="12FE45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26B475">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2080802</w:t>
            </w:r>
          </w:p>
        </w:tc>
        <w:tc>
          <w:tcPr>
            <w:tcW w:w="3527" w:type="dxa"/>
            <w:tcBorders>
              <w:top w:val="nil"/>
              <w:left w:val="nil"/>
              <w:bottom w:val="nil"/>
              <w:right w:val="single" w:color="auto" w:sz="4" w:space="0"/>
            </w:tcBorders>
            <w:shd w:val="clear" w:color="auto" w:fill="auto"/>
            <w:vAlign w:val="center"/>
          </w:tcPr>
          <w:p w14:paraId="252ADFEC">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3000" w:type="dxa"/>
            <w:tcBorders>
              <w:top w:val="nil"/>
              <w:left w:val="nil"/>
              <w:bottom w:val="nil"/>
              <w:right w:val="single" w:color="auto" w:sz="4" w:space="0"/>
            </w:tcBorders>
            <w:shd w:val="clear" w:color="auto" w:fill="auto"/>
            <w:vAlign w:val="center"/>
          </w:tcPr>
          <w:p w14:paraId="11CC190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0.71 </w:t>
            </w:r>
          </w:p>
        </w:tc>
        <w:tc>
          <w:tcPr>
            <w:tcW w:w="3492" w:type="dxa"/>
            <w:tcBorders>
              <w:top w:val="nil"/>
              <w:left w:val="nil"/>
              <w:bottom w:val="nil"/>
              <w:right w:val="single" w:color="auto" w:sz="4" w:space="0"/>
            </w:tcBorders>
            <w:shd w:val="clear" w:color="auto" w:fill="auto"/>
            <w:vAlign w:val="center"/>
          </w:tcPr>
          <w:p w14:paraId="10313EE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0.71 </w:t>
            </w:r>
          </w:p>
        </w:tc>
        <w:tc>
          <w:tcPr>
            <w:tcW w:w="3000" w:type="dxa"/>
            <w:tcBorders>
              <w:top w:val="nil"/>
              <w:left w:val="nil"/>
              <w:bottom w:val="nil"/>
              <w:right w:val="single" w:color="auto" w:sz="8" w:space="0"/>
            </w:tcBorders>
            <w:shd w:val="clear" w:color="auto" w:fill="auto"/>
            <w:vAlign w:val="center"/>
          </w:tcPr>
          <w:p w14:paraId="1D7059E7">
            <w:pPr>
              <w:widowControl/>
              <w:jc w:val="left"/>
              <w:rPr>
                <w:rFonts w:ascii="Times New Roman" w:hAnsi="Times New Roman" w:eastAsia="仿宋_GB2312" w:cs="Times New Roman"/>
                <w:kern w:val="0"/>
                <w:szCs w:val="21"/>
              </w:rPr>
            </w:pPr>
          </w:p>
        </w:tc>
      </w:tr>
      <w:tr w14:paraId="154C247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C073E8">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3527" w:type="dxa"/>
            <w:tcBorders>
              <w:top w:val="nil"/>
              <w:left w:val="nil"/>
              <w:bottom w:val="nil"/>
              <w:right w:val="single" w:color="auto" w:sz="4" w:space="0"/>
            </w:tcBorders>
            <w:shd w:val="clear" w:color="auto" w:fill="auto"/>
            <w:vAlign w:val="center"/>
          </w:tcPr>
          <w:p w14:paraId="082900F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3000" w:type="dxa"/>
            <w:tcBorders>
              <w:top w:val="nil"/>
              <w:left w:val="nil"/>
              <w:bottom w:val="nil"/>
              <w:right w:val="single" w:color="auto" w:sz="4" w:space="0"/>
            </w:tcBorders>
            <w:shd w:val="clear" w:color="auto" w:fill="auto"/>
            <w:vAlign w:val="center"/>
          </w:tcPr>
          <w:p w14:paraId="5F58E3F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3492" w:type="dxa"/>
            <w:tcBorders>
              <w:top w:val="nil"/>
              <w:left w:val="nil"/>
              <w:bottom w:val="nil"/>
              <w:right w:val="single" w:color="auto" w:sz="4" w:space="0"/>
            </w:tcBorders>
            <w:shd w:val="clear" w:color="auto" w:fill="auto"/>
            <w:vAlign w:val="center"/>
          </w:tcPr>
          <w:p w14:paraId="1F8E88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3000" w:type="dxa"/>
            <w:tcBorders>
              <w:top w:val="nil"/>
              <w:left w:val="nil"/>
              <w:bottom w:val="nil"/>
              <w:right w:val="single" w:color="auto" w:sz="8" w:space="0"/>
            </w:tcBorders>
            <w:shd w:val="clear" w:color="auto" w:fill="auto"/>
            <w:vAlign w:val="center"/>
          </w:tcPr>
          <w:p w14:paraId="5D686377">
            <w:pPr>
              <w:widowControl/>
              <w:jc w:val="left"/>
              <w:rPr>
                <w:rFonts w:ascii="Times New Roman" w:hAnsi="Times New Roman" w:eastAsia="仿宋_GB2312" w:cs="Times New Roman"/>
                <w:kern w:val="0"/>
                <w:szCs w:val="21"/>
              </w:rPr>
            </w:pPr>
          </w:p>
        </w:tc>
      </w:tr>
      <w:tr w14:paraId="0081A4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12B79">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3527" w:type="dxa"/>
            <w:tcBorders>
              <w:top w:val="nil"/>
              <w:left w:val="nil"/>
              <w:bottom w:val="nil"/>
              <w:right w:val="single" w:color="auto" w:sz="4" w:space="0"/>
            </w:tcBorders>
            <w:shd w:val="clear" w:color="auto" w:fill="auto"/>
            <w:vAlign w:val="center"/>
          </w:tcPr>
          <w:p w14:paraId="1D7A5311">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3000" w:type="dxa"/>
            <w:tcBorders>
              <w:top w:val="nil"/>
              <w:left w:val="nil"/>
              <w:bottom w:val="nil"/>
              <w:right w:val="single" w:color="auto" w:sz="4" w:space="0"/>
            </w:tcBorders>
            <w:shd w:val="clear" w:color="auto" w:fill="auto"/>
            <w:vAlign w:val="center"/>
          </w:tcPr>
          <w:p w14:paraId="5EDA08B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3492" w:type="dxa"/>
            <w:tcBorders>
              <w:top w:val="nil"/>
              <w:left w:val="nil"/>
              <w:bottom w:val="nil"/>
              <w:right w:val="single" w:color="auto" w:sz="4" w:space="0"/>
            </w:tcBorders>
            <w:shd w:val="clear" w:color="auto" w:fill="auto"/>
            <w:vAlign w:val="center"/>
          </w:tcPr>
          <w:p w14:paraId="0E2894F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7.79 </w:t>
            </w:r>
          </w:p>
        </w:tc>
        <w:tc>
          <w:tcPr>
            <w:tcW w:w="3000" w:type="dxa"/>
            <w:tcBorders>
              <w:top w:val="nil"/>
              <w:left w:val="nil"/>
              <w:bottom w:val="nil"/>
              <w:right w:val="single" w:color="auto" w:sz="8" w:space="0"/>
            </w:tcBorders>
            <w:shd w:val="clear" w:color="auto" w:fill="auto"/>
            <w:vAlign w:val="center"/>
          </w:tcPr>
          <w:p w14:paraId="61EC1C07">
            <w:pPr>
              <w:widowControl/>
              <w:jc w:val="left"/>
              <w:rPr>
                <w:rFonts w:ascii="Times New Roman" w:hAnsi="Times New Roman" w:eastAsia="仿宋_GB2312" w:cs="Times New Roman"/>
                <w:kern w:val="0"/>
                <w:szCs w:val="21"/>
              </w:rPr>
            </w:pPr>
          </w:p>
        </w:tc>
      </w:tr>
      <w:tr w14:paraId="32CB244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A6EE0A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3527" w:type="dxa"/>
            <w:tcBorders>
              <w:top w:val="nil"/>
              <w:left w:val="nil"/>
              <w:bottom w:val="nil"/>
              <w:right w:val="single" w:color="auto" w:sz="4" w:space="0"/>
            </w:tcBorders>
            <w:shd w:val="clear" w:color="auto" w:fill="auto"/>
            <w:vAlign w:val="center"/>
          </w:tcPr>
          <w:p w14:paraId="33CD006C">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事业单位医疗</w:t>
            </w:r>
          </w:p>
        </w:tc>
        <w:tc>
          <w:tcPr>
            <w:tcW w:w="3000" w:type="dxa"/>
            <w:tcBorders>
              <w:top w:val="nil"/>
              <w:left w:val="nil"/>
              <w:bottom w:val="nil"/>
              <w:right w:val="single" w:color="auto" w:sz="4" w:space="0"/>
            </w:tcBorders>
            <w:shd w:val="clear" w:color="auto" w:fill="auto"/>
            <w:vAlign w:val="center"/>
          </w:tcPr>
          <w:p w14:paraId="4D1CBBD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7.79 </w:t>
            </w:r>
          </w:p>
        </w:tc>
        <w:tc>
          <w:tcPr>
            <w:tcW w:w="3492" w:type="dxa"/>
            <w:tcBorders>
              <w:top w:val="nil"/>
              <w:left w:val="nil"/>
              <w:bottom w:val="nil"/>
              <w:right w:val="single" w:color="auto" w:sz="4" w:space="0"/>
            </w:tcBorders>
            <w:shd w:val="clear" w:color="auto" w:fill="auto"/>
            <w:vAlign w:val="center"/>
          </w:tcPr>
          <w:p w14:paraId="12F00BE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7.79 </w:t>
            </w:r>
          </w:p>
        </w:tc>
        <w:tc>
          <w:tcPr>
            <w:tcW w:w="3000" w:type="dxa"/>
            <w:tcBorders>
              <w:top w:val="nil"/>
              <w:left w:val="nil"/>
              <w:bottom w:val="nil"/>
              <w:right w:val="single" w:color="auto" w:sz="8" w:space="0"/>
            </w:tcBorders>
            <w:shd w:val="clear" w:color="auto" w:fill="auto"/>
            <w:vAlign w:val="center"/>
          </w:tcPr>
          <w:p w14:paraId="275462FD">
            <w:pPr>
              <w:widowControl/>
              <w:jc w:val="left"/>
              <w:rPr>
                <w:rFonts w:ascii="Times New Roman" w:hAnsi="Times New Roman" w:eastAsia="仿宋_GB2312" w:cs="Times New Roman"/>
                <w:kern w:val="0"/>
                <w:szCs w:val="21"/>
              </w:rPr>
            </w:pPr>
          </w:p>
        </w:tc>
      </w:tr>
      <w:tr w14:paraId="0C1A7A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81E3A5">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216</w:t>
            </w:r>
          </w:p>
        </w:tc>
        <w:tc>
          <w:tcPr>
            <w:tcW w:w="3527" w:type="dxa"/>
            <w:tcBorders>
              <w:top w:val="nil"/>
              <w:left w:val="nil"/>
              <w:bottom w:val="nil"/>
              <w:right w:val="single" w:color="auto" w:sz="4" w:space="0"/>
            </w:tcBorders>
            <w:shd w:val="clear" w:color="auto" w:fill="auto"/>
            <w:vAlign w:val="center"/>
          </w:tcPr>
          <w:p w14:paraId="627FA7D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商业服务业等支出</w:t>
            </w:r>
          </w:p>
        </w:tc>
        <w:tc>
          <w:tcPr>
            <w:tcW w:w="3000" w:type="dxa"/>
            <w:tcBorders>
              <w:top w:val="nil"/>
              <w:left w:val="nil"/>
              <w:bottom w:val="nil"/>
              <w:right w:val="single" w:color="auto" w:sz="4" w:space="0"/>
            </w:tcBorders>
            <w:shd w:val="clear" w:color="auto" w:fill="auto"/>
            <w:vAlign w:val="center"/>
          </w:tcPr>
          <w:p w14:paraId="2E48E20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145.12 </w:t>
            </w:r>
          </w:p>
        </w:tc>
        <w:tc>
          <w:tcPr>
            <w:tcW w:w="3492" w:type="dxa"/>
            <w:tcBorders>
              <w:top w:val="nil"/>
              <w:left w:val="nil"/>
              <w:bottom w:val="nil"/>
              <w:right w:val="single" w:color="auto" w:sz="4" w:space="0"/>
            </w:tcBorders>
            <w:shd w:val="clear" w:color="auto" w:fill="auto"/>
            <w:vAlign w:val="center"/>
          </w:tcPr>
          <w:p w14:paraId="108E286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145.12</w:t>
            </w:r>
          </w:p>
        </w:tc>
        <w:tc>
          <w:tcPr>
            <w:tcW w:w="3000" w:type="dxa"/>
            <w:tcBorders>
              <w:top w:val="nil"/>
              <w:left w:val="nil"/>
              <w:bottom w:val="nil"/>
              <w:right w:val="single" w:color="auto" w:sz="8" w:space="0"/>
            </w:tcBorders>
            <w:shd w:val="clear" w:color="auto" w:fill="auto"/>
            <w:vAlign w:val="center"/>
          </w:tcPr>
          <w:p w14:paraId="574CE728">
            <w:pPr>
              <w:widowControl/>
              <w:jc w:val="left"/>
              <w:rPr>
                <w:rFonts w:ascii="Times New Roman" w:hAnsi="Times New Roman" w:eastAsia="仿宋_GB2312" w:cs="Times New Roman"/>
                <w:kern w:val="0"/>
                <w:szCs w:val="21"/>
              </w:rPr>
            </w:pPr>
          </w:p>
        </w:tc>
      </w:tr>
      <w:tr w14:paraId="15CF1C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6C148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21602</w:t>
            </w:r>
          </w:p>
        </w:tc>
        <w:tc>
          <w:tcPr>
            <w:tcW w:w="3527" w:type="dxa"/>
            <w:tcBorders>
              <w:top w:val="nil"/>
              <w:left w:val="nil"/>
              <w:bottom w:val="nil"/>
              <w:right w:val="single" w:color="auto" w:sz="4" w:space="0"/>
            </w:tcBorders>
            <w:shd w:val="clear" w:color="auto" w:fill="auto"/>
            <w:vAlign w:val="center"/>
          </w:tcPr>
          <w:p w14:paraId="5B989B3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商业流通事务</w:t>
            </w:r>
          </w:p>
        </w:tc>
        <w:tc>
          <w:tcPr>
            <w:tcW w:w="3000" w:type="dxa"/>
            <w:tcBorders>
              <w:top w:val="nil"/>
              <w:left w:val="nil"/>
              <w:bottom w:val="nil"/>
              <w:right w:val="single" w:color="auto" w:sz="4" w:space="0"/>
            </w:tcBorders>
            <w:shd w:val="clear" w:color="auto" w:fill="auto"/>
            <w:vAlign w:val="center"/>
          </w:tcPr>
          <w:p w14:paraId="11D2E4F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144.87 </w:t>
            </w:r>
          </w:p>
        </w:tc>
        <w:tc>
          <w:tcPr>
            <w:tcW w:w="3492" w:type="dxa"/>
            <w:tcBorders>
              <w:top w:val="nil"/>
              <w:left w:val="nil"/>
              <w:bottom w:val="nil"/>
              <w:right w:val="single" w:color="auto" w:sz="4" w:space="0"/>
            </w:tcBorders>
            <w:shd w:val="clear" w:color="auto" w:fill="auto"/>
            <w:vAlign w:val="center"/>
          </w:tcPr>
          <w:p w14:paraId="28A689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144.87</w:t>
            </w:r>
          </w:p>
        </w:tc>
        <w:tc>
          <w:tcPr>
            <w:tcW w:w="3000" w:type="dxa"/>
            <w:tcBorders>
              <w:top w:val="nil"/>
              <w:left w:val="nil"/>
              <w:bottom w:val="nil"/>
              <w:right w:val="single" w:color="auto" w:sz="8" w:space="0"/>
            </w:tcBorders>
            <w:shd w:val="clear" w:color="auto" w:fill="auto"/>
            <w:vAlign w:val="center"/>
          </w:tcPr>
          <w:p w14:paraId="0754174D">
            <w:pPr>
              <w:widowControl/>
              <w:jc w:val="left"/>
              <w:rPr>
                <w:rFonts w:ascii="Times New Roman" w:hAnsi="Times New Roman" w:eastAsia="仿宋_GB2312" w:cs="Times New Roman"/>
                <w:kern w:val="0"/>
                <w:szCs w:val="21"/>
              </w:rPr>
            </w:pPr>
          </w:p>
        </w:tc>
      </w:tr>
      <w:tr w14:paraId="32C6BD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A64E273">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21602</w:t>
            </w:r>
            <w:r>
              <w:rPr>
                <w:rFonts w:hint="eastAsia" w:ascii="Times New Roman" w:hAnsi="Times New Roman" w:eastAsia="仿宋_GB2312" w:cs="Times New Roman"/>
                <w:lang w:val="en-US" w:eastAsia="zh-CN"/>
              </w:rPr>
              <w:t>01</w:t>
            </w:r>
          </w:p>
        </w:tc>
        <w:tc>
          <w:tcPr>
            <w:tcW w:w="3527" w:type="dxa"/>
            <w:tcBorders>
              <w:top w:val="nil"/>
              <w:left w:val="nil"/>
              <w:bottom w:val="nil"/>
              <w:right w:val="single" w:color="auto" w:sz="4" w:space="0"/>
            </w:tcBorders>
            <w:shd w:val="clear" w:color="auto" w:fill="auto"/>
            <w:vAlign w:val="center"/>
          </w:tcPr>
          <w:p w14:paraId="2BDB5BA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3000" w:type="dxa"/>
            <w:tcBorders>
              <w:top w:val="nil"/>
              <w:left w:val="nil"/>
              <w:bottom w:val="nil"/>
              <w:right w:val="single" w:color="auto" w:sz="4" w:space="0"/>
            </w:tcBorders>
            <w:shd w:val="clear" w:color="auto" w:fill="auto"/>
            <w:vAlign w:val="center"/>
          </w:tcPr>
          <w:p w14:paraId="6A079EF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144.87 </w:t>
            </w:r>
          </w:p>
        </w:tc>
        <w:tc>
          <w:tcPr>
            <w:tcW w:w="3492" w:type="dxa"/>
            <w:tcBorders>
              <w:top w:val="nil"/>
              <w:left w:val="nil"/>
              <w:bottom w:val="nil"/>
              <w:right w:val="single" w:color="auto" w:sz="4" w:space="0"/>
            </w:tcBorders>
            <w:shd w:val="clear" w:color="auto" w:fill="auto"/>
            <w:vAlign w:val="center"/>
          </w:tcPr>
          <w:p w14:paraId="256284F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144.87</w:t>
            </w:r>
          </w:p>
        </w:tc>
        <w:tc>
          <w:tcPr>
            <w:tcW w:w="3000" w:type="dxa"/>
            <w:tcBorders>
              <w:top w:val="nil"/>
              <w:left w:val="nil"/>
              <w:bottom w:val="nil"/>
              <w:right w:val="single" w:color="auto" w:sz="8" w:space="0"/>
            </w:tcBorders>
            <w:shd w:val="clear" w:color="auto" w:fill="auto"/>
            <w:vAlign w:val="center"/>
          </w:tcPr>
          <w:p w14:paraId="3CCE1E32">
            <w:pPr>
              <w:widowControl/>
              <w:jc w:val="left"/>
              <w:rPr>
                <w:rFonts w:ascii="Times New Roman" w:hAnsi="Times New Roman" w:eastAsia="仿宋_GB2312" w:cs="Times New Roman"/>
                <w:kern w:val="0"/>
                <w:szCs w:val="21"/>
              </w:rPr>
            </w:pPr>
          </w:p>
        </w:tc>
      </w:tr>
      <w:tr w14:paraId="46533E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F19369">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21606</w:t>
            </w:r>
          </w:p>
        </w:tc>
        <w:tc>
          <w:tcPr>
            <w:tcW w:w="3527" w:type="dxa"/>
            <w:tcBorders>
              <w:top w:val="nil"/>
              <w:left w:val="nil"/>
              <w:bottom w:val="nil"/>
              <w:right w:val="single" w:color="auto" w:sz="4" w:space="0"/>
            </w:tcBorders>
            <w:shd w:val="clear" w:color="auto" w:fill="auto"/>
            <w:vAlign w:val="center"/>
          </w:tcPr>
          <w:p w14:paraId="5CC5F6B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涉外发展服务支出</w:t>
            </w:r>
          </w:p>
        </w:tc>
        <w:tc>
          <w:tcPr>
            <w:tcW w:w="3000" w:type="dxa"/>
            <w:tcBorders>
              <w:top w:val="nil"/>
              <w:left w:val="nil"/>
              <w:bottom w:val="nil"/>
              <w:right w:val="single" w:color="auto" w:sz="4" w:space="0"/>
            </w:tcBorders>
            <w:shd w:val="clear" w:color="auto" w:fill="auto"/>
            <w:vAlign w:val="center"/>
          </w:tcPr>
          <w:p w14:paraId="49BCED7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c>
          <w:tcPr>
            <w:tcW w:w="3492" w:type="dxa"/>
            <w:tcBorders>
              <w:top w:val="nil"/>
              <w:left w:val="nil"/>
              <w:bottom w:val="nil"/>
              <w:right w:val="single" w:color="auto" w:sz="4" w:space="0"/>
            </w:tcBorders>
            <w:shd w:val="clear" w:color="auto" w:fill="auto"/>
            <w:vAlign w:val="center"/>
          </w:tcPr>
          <w:p w14:paraId="446D91B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0.25</w:t>
            </w:r>
          </w:p>
        </w:tc>
        <w:tc>
          <w:tcPr>
            <w:tcW w:w="3000" w:type="dxa"/>
            <w:tcBorders>
              <w:top w:val="nil"/>
              <w:left w:val="nil"/>
              <w:bottom w:val="nil"/>
              <w:right w:val="single" w:color="auto" w:sz="8" w:space="0"/>
            </w:tcBorders>
            <w:shd w:val="clear" w:color="auto" w:fill="auto"/>
            <w:vAlign w:val="center"/>
          </w:tcPr>
          <w:p w14:paraId="6E7715E6">
            <w:pPr>
              <w:widowControl/>
              <w:jc w:val="left"/>
              <w:rPr>
                <w:rFonts w:ascii="Times New Roman" w:hAnsi="Times New Roman" w:eastAsia="仿宋_GB2312" w:cs="Times New Roman"/>
                <w:kern w:val="0"/>
                <w:szCs w:val="21"/>
              </w:rPr>
            </w:pPr>
          </w:p>
        </w:tc>
      </w:tr>
      <w:tr w14:paraId="34B62B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4EB893">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21606</w:t>
            </w:r>
            <w:r>
              <w:rPr>
                <w:rFonts w:hint="eastAsia" w:ascii="Times New Roman" w:hAnsi="Times New Roman" w:eastAsia="仿宋_GB2312" w:cs="Times New Roman"/>
                <w:lang w:val="en-US" w:eastAsia="zh-CN"/>
              </w:rPr>
              <w:t>01</w:t>
            </w:r>
          </w:p>
        </w:tc>
        <w:tc>
          <w:tcPr>
            <w:tcW w:w="3527" w:type="dxa"/>
            <w:tcBorders>
              <w:top w:val="nil"/>
              <w:left w:val="nil"/>
              <w:bottom w:val="nil"/>
              <w:right w:val="single" w:color="auto" w:sz="4" w:space="0"/>
            </w:tcBorders>
            <w:shd w:val="clear" w:color="auto" w:fill="auto"/>
            <w:vAlign w:val="center"/>
          </w:tcPr>
          <w:p w14:paraId="65C58B18">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3000" w:type="dxa"/>
            <w:tcBorders>
              <w:top w:val="nil"/>
              <w:left w:val="nil"/>
              <w:bottom w:val="nil"/>
              <w:right w:val="single" w:color="auto" w:sz="4" w:space="0"/>
            </w:tcBorders>
            <w:shd w:val="clear" w:color="auto" w:fill="auto"/>
            <w:vAlign w:val="center"/>
          </w:tcPr>
          <w:p w14:paraId="46BEE22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0.25 </w:t>
            </w:r>
          </w:p>
        </w:tc>
        <w:tc>
          <w:tcPr>
            <w:tcW w:w="3492" w:type="dxa"/>
            <w:tcBorders>
              <w:top w:val="nil"/>
              <w:left w:val="nil"/>
              <w:bottom w:val="nil"/>
              <w:right w:val="single" w:color="auto" w:sz="4" w:space="0"/>
            </w:tcBorders>
            <w:shd w:val="clear" w:color="auto" w:fill="auto"/>
            <w:vAlign w:val="center"/>
          </w:tcPr>
          <w:p w14:paraId="2B3F8E5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0.25 </w:t>
            </w:r>
          </w:p>
        </w:tc>
        <w:tc>
          <w:tcPr>
            <w:tcW w:w="3000" w:type="dxa"/>
            <w:tcBorders>
              <w:top w:val="nil"/>
              <w:left w:val="nil"/>
              <w:bottom w:val="nil"/>
              <w:right w:val="single" w:color="auto" w:sz="8" w:space="0"/>
            </w:tcBorders>
            <w:shd w:val="clear" w:color="auto" w:fill="auto"/>
            <w:vAlign w:val="center"/>
          </w:tcPr>
          <w:p w14:paraId="684B7E0E">
            <w:pPr>
              <w:widowControl/>
              <w:jc w:val="left"/>
              <w:rPr>
                <w:rFonts w:ascii="Times New Roman" w:hAnsi="Times New Roman" w:eastAsia="仿宋_GB2312" w:cs="Times New Roman"/>
                <w:kern w:val="0"/>
                <w:szCs w:val="21"/>
              </w:rPr>
            </w:pPr>
          </w:p>
        </w:tc>
      </w:tr>
    </w:tbl>
    <w:p w14:paraId="3BF5076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243A54C">
      <w:pPr>
        <w:widowControl/>
        <w:jc w:val="left"/>
        <w:rPr>
          <w:rFonts w:ascii="Times New Roman" w:hAnsi="Times New Roman" w:eastAsia="仿宋_GB2312" w:cs="Times New Roman"/>
          <w:bCs/>
          <w:kern w:val="0"/>
          <w:szCs w:val="21"/>
        </w:rPr>
      </w:pPr>
    </w:p>
    <w:p w14:paraId="00384BA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DACCE8B">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B717F3F">
      <w:pPr>
        <w:widowControl/>
        <w:wordWrap w:val="0"/>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蓝山县商业与物资企业改制服务办公室</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557408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DCFD5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5645F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CEBC10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772BA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56E38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444F5A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D087A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3708FD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27054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C5C99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09A8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AB9B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BDFE75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151.64</w:t>
            </w:r>
          </w:p>
        </w:tc>
        <w:tc>
          <w:tcPr>
            <w:tcW w:w="1116" w:type="dxa"/>
            <w:tcBorders>
              <w:top w:val="nil"/>
              <w:left w:val="nil"/>
              <w:bottom w:val="single" w:color="auto" w:sz="4" w:space="0"/>
              <w:right w:val="single" w:color="auto" w:sz="4" w:space="0"/>
            </w:tcBorders>
            <w:shd w:val="clear" w:color="auto" w:fill="auto"/>
            <w:noWrap/>
            <w:vAlign w:val="center"/>
          </w:tcPr>
          <w:p w14:paraId="0FD759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891C0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D480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16.29</w:t>
            </w:r>
          </w:p>
        </w:tc>
        <w:tc>
          <w:tcPr>
            <w:tcW w:w="1217" w:type="dxa"/>
            <w:tcBorders>
              <w:top w:val="nil"/>
              <w:left w:val="nil"/>
              <w:bottom w:val="single" w:color="auto" w:sz="4" w:space="0"/>
              <w:right w:val="single" w:color="auto" w:sz="4" w:space="0"/>
            </w:tcBorders>
            <w:shd w:val="clear" w:color="auto" w:fill="auto"/>
            <w:noWrap/>
            <w:vAlign w:val="center"/>
          </w:tcPr>
          <w:p w14:paraId="20E65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23F4A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99B4B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1C9B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320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912B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3B883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75.47</w:t>
            </w:r>
          </w:p>
        </w:tc>
        <w:tc>
          <w:tcPr>
            <w:tcW w:w="1116" w:type="dxa"/>
            <w:tcBorders>
              <w:top w:val="nil"/>
              <w:left w:val="nil"/>
              <w:bottom w:val="single" w:color="auto" w:sz="4" w:space="0"/>
              <w:right w:val="single" w:color="auto" w:sz="4" w:space="0"/>
            </w:tcBorders>
            <w:shd w:val="clear" w:color="auto" w:fill="auto"/>
            <w:noWrap/>
            <w:vAlign w:val="center"/>
          </w:tcPr>
          <w:p w14:paraId="48F165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8DCF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EF99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0.56</w:t>
            </w:r>
          </w:p>
        </w:tc>
        <w:tc>
          <w:tcPr>
            <w:tcW w:w="1217" w:type="dxa"/>
            <w:tcBorders>
              <w:top w:val="nil"/>
              <w:left w:val="nil"/>
              <w:bottom w:val="single" w:color="auto" w:sz="4" w:space="0"/>
              <w:right w:val="single" w:color="auto" w:sz="4" w:space="0"/>
            </w:tcBorders>
            <w:shd w:val="clear" w:color="auto" w:fill="auto"/>
            <w:noWrap/>
            <w:vAlign w:val="center"/>
          </w:tcPr>
          <w:p w14:paraId="25026B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C2F6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AFEAB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4BF2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275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19FF5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A061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31.14</w:t>
            </w:r>
          </w:p>
        </w:tc>
        <w:tc>
          <w:tcPr>
            <w:tcW w:w="1116" w:type="dxa"/>
            <w:tcBorders>
              <w:top w:val="nil"/>
              <w:left w:val="nil"/>
              <w:bottom w:val="single" w:color="auto" w:sz="4" w:space="0"/>
              <w:right w:val="single" w:color="auto" w:sz="4" w:space="0"/>
            </w:tcBorders>
            <w:shd w:val="clear" w:color="auto" w:fill="auto"/>
            <w:noWrap/>
            <w:vAlign w:val="center"/>
          </w:tcPr>
          <w:p w14:paraId="4033A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CB79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88B1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F138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14A00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D42B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CB68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9D3D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21DE6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1948B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16.05</w:t>
            </w:r>
          </w:p>
        </w:tc>
        <w:tc>
          <w:tcPr>
            <w:tcW w:w="1116" w:type="dxa"/>
            <w:tcBorders>
              <w:top w:val="nil"/>
              <w:left w:val="nil"/>
              <w:bottom w:val="single" w:color="auto" w:sz="4" w:space="0"/>
              <w:right w:val="single" w:color="auto" w:sz="4" w:space="0"/>
            </w:tcBorders>
            <w:shd w:val="clear" w:color="auto" w:fill="auto"/>
            <w:noWrap/>
            <w:vAlign w:val="center"/>
          </w:tcPr>
          <w:p w14:paraId="7C21A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1B6A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B262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436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ECC37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2D41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7CD8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BDDA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690C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818A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5F41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D884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C2C3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2F62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9095B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1A79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6B6E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7A22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187B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AB96E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C168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1074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6B9BE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0.04</w:t>
            </w:r>
          </w:p>
        </w:tc>
        <w:tc>
          <w:tcPr>
            <w:tcW w:w="1217" w:type="dxa"/>
            <w:tcBorders>
              <w:top w:val="nil"/>
              <w:left w:val="nil"/>
              <w:bottom w:val="single" w:color="auto" w:sz="4" w:space="0"/>
              <w:right w:val="single" w:color="auto" w:sz="4" w:space="0"/>
            </w:tcBorders>
            <w:shd w:val="clear" w:color="auto" w:fill="auto"/>
            <w:noWrap/>
            <w:vAlign w:val="center"/>
          </w:tcPr>
          <w:p w14:paraId="3FC0A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76DB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41C01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2C03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8AA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375B5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05417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17.76</w:t>
            </w:r>
          </w:p>
        </w:tc>
        <w:tc>
          <w:tcPr>
            <w:tcW w:w="1116" w:type="dxa"/>
            <w:tcBorders>
              <w:top w:val="nil"/>
              <w:left w:val="nil"/>
              <w:bottom w:val="single" w:color="auto" w:sz="4" w:space="0"/>
              <w:right w:val="single" w:color="auto" w:sz="4" w:space="0"/>
            </w:tcBorders>
            <w:shd w:val="clear" w:color="auto" w:fill="auto"/>
            <w:noWrap/>
            <w:vAlign w:val="center"/>
          </w:tcPr>
          <w:p w14:paraId="70CC41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319D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4EB9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0.26</w:t>
            </w:r>
          </w:p>
        </w:tc>
        <w:tc>
          <w:tcPr>
            <w:tcW w:w="1217" w:type="dxa"/>
            <w:tcBorders>
              <w:top w:val="nil"/>
              <w:left w:val="nil"/>
              <w:bottom w:val="single" w:color="auto" w:sz="4" w:space="0"/>
              <w:right w:val="single" w:color="auto" w:sz="4" w:space="0"/>
            </w:tcBorders>
            <w:shd w:val="clear" w:color="auto" w:fill="auto"/>
            <w:noWrap/>
            <w:vAlign w:val="center"/>
          </w:tcPr>
          <w:p w14:paraId="6EC02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E9ED8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6B34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E692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6A80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B332D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7C520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FAB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9242A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798413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0.3</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E44C8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2A13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259CE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DEED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A05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0752F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4E056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8.39</w:t>
            </w:r>
          </w:p>
        </w:tc>
        <w:tc>
          <w:tcPr>
            <w:tcW w:w="1116" w:type="dxa"/>
            <w:tcBorders>
              <w:top w:val="nil"/>
              <w:left w:val="nil"/>
              <w:bottom w:val="single" w:color="auto" w:sz="4" w:space="0"/>
              <w:right w:val="single" w:color="auto" w:sz="4" w:space="0"/>
            </w:tcBorders>
            <w:shd w:val="clear" w:color="auto" w:fill="auto"/>
            <w:noWrap/>
            <w:vAlign w:val="center"/>
          </w:tcPr>
          <w:p w14:paraId="564CE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809F7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BA21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6DB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68D98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90E6F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DDAF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2491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ECF7F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5A53A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E81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3600C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0859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90C3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466A3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16B7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DD5B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1AA7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DB4B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0C3BA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1.06</w:t>
            </w:r>
          </w:p>
        </w:tc>
        <w:tc>
          <w:tcPr>
            <w:tcW w:w="1116" w:type="dxa"/>
            <w:tcBorders>
              <w:top w:val="nil"/>
              <w:left w:val="nil"/>
              <w:bottom w:val="single" w:color="auto" w:sz="4" w:space="0"/>
              <w:right w:val="single" w:color="auto" w:sz="4" w:space="0"/>
            </w:tcBorders>
            <w:shd w:val="clear" w:color="auto" w:fill="auto"/>
            <w:noWrap/>
            <w:vAlign w:val="center"/>
          </w:tcPr>
          <w:p w14:paraId="65EA6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DE3A2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3EA9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C7F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53913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1FEBC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15ED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DE99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CF14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D74B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AD5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E210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256B2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AB57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2C94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55B51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A072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AB3F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E1454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41E8B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DCE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3A7CD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3BE64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0.41</w:t>
            </w:r>
          </w:p>
        </w:tc>
        <w:tc>
          <w:tcPr>
            <w:tcW w:w="1217" w:type="dxa"/>
            <w:tcBorders>
              <w:top w:val="nil"/>
              <w:left w:val="nil"/>
              <w:bottom w:val="single" w:color="auto" w:sz="4" w:space="0"/>
              <w:right w:val="single" w:color="auto" w:sz="4" w:space="0"/>
            </w:tcBorders>
            <w:shd w:val="clear" w:color="auto" w:fill="auto"/>
            <w:noWrap/>
            <w:vAlign w:val="center"/>
          </w:tcPr>
          <w:p w14:paraId="54A85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5363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E013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42A1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ED86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E34CB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CA4F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1.77</w:t>
            </w:r>
          </w:p>
        </w:tc>
        <w:tc>
          <w:tcPr>
            <w:tcW w:w="1116" w:type="dxa"/>
            <w:tcBorders>
              <w:top w:val="nil"/>
              <w:left w:val="nil"/>
              <w:bottom w:val="single" w:color="auto" w:sz="4" w:space="0"/>
              <w:right w:val="single" w:color="auto" w:sz="4" w:space="0"/>
            </w:tcBorders>
            <w:shd w:val="clear" w:color="auto" w:fill="auto"/>
            <w:noWrap/>
            <w:vAlign w:val="center"/>
          </w:tcPr>
          <w:p w14:paraId="55A30D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81FF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F6E78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01D3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C9AC5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DA05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D023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0DBB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33581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CDB2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23.69</w:t>
            </w:r>
          </w:p>
        </w:tc>
        <w:tc>
          <w:tcPr>
            <w:tcW w:w="1116" w:type="dxa"/>
            <w:tcBorders>
              <w:top w:val="nil"/>
              <w:left w:val="nil"/>
              <w:bottom w:val="single" w:color="auto" w:sz="4" w:space="0"/>
              <w:right w:val="single" w:color="auto" w:sz="4" w:space="0"/>
            </w:tcBorders>
            <w:shd w:val="clear" w:color="auto" w:fill="auto"/>
            <w:noWrap/>
            <w:vAlign w:val="center"/>
          </w:tcPr>
          <w:p w14:paraId="3F9A37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5A2D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2916B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BA15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23BF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0C764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3FC5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2582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0D27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2102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02B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D850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24BC3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0.02</w:t>
            </w:r>
          </w:p>
        </w:tc>
        <w:tc>
          <w:tcPr>
            <w:tcW w:w="1217" w:type="dxa"/>
            <w:tcBorders>
              <w:top w:val="nil"/>
              <w:left w:val="nil"/>
              <w:bottom w:val="single" w:color="auto" w:sz="4" w:space="0"/>
              <w:right w:val="single" w:color="auto" w:sz="4" w:space="0"/>
            </w:tcBorders>
            <w:shd w:val="clear" w:color="auto" w:fill="auto"/>
            <w:noWrap/>
            <w:vAlign w:val="center"/>
          </w:tcPr>
          <w:p w14:paraId="03BE5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6FA0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A28A4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2FB7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DB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8E402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9354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11889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93B29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49E5A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DFCB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E5FE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CEA9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556A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67AF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F8A63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D01AB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BA5F3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F20C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B5C0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397D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E4701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3AC9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D535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95D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6E51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6B7E2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4.18</w:t>
            </w:r>
          </w:p>
        </w:tc>
        <w:tc>
          <w:tcPr>
            <w:tcW w:w="1116" w:type="dxa"/>
            <w:tcBorders>
              <w:top w:val="nil"/>
              <w:left w:val="nil"/>
              <w:bottom w:val="single" w:color="auto" w:sz="4" w:space="0"/>
              <w:right w:val="single" w:color="auto" w:sz="4" w:space="0"/>
            </w:tcBorders>
            <w:shd w:val="clear" w:color="auto" w:fill="auto"/>
            <w:noWrap/>
            <w:vAlign w:val="center"/>
          </w:tcPr>
          <w:p w14:paraId="091A5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A680A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39B36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81E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86DB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B0B59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D2CB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96B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1107B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CE48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16.77</w:t>
            </w:r>
          </w:p>
        </w:tc>
        <w:tc>
          <w:tcPr>
            <w:tcW w:w="1116" w:type="dxa"/>
            <w:tcBorders>
              <w:top w:val="nil"/>
              <w:left w:val="nil"/>
              <w:bottom w:val="single" w:color="auto" w:sz="4" w:space="0"/>
              <w:right w:val="single" w:color="auto" w:sz="4" w:space="0"/>
            </w:tcBorders>
            <w:shd w:val="clear" w:color="auto" w:fill="auto"/>
            <w:noWrap/>
            <w:vAlign w:val="center"/>
          </w:tcPr>
          <w:p w14:paraId="4F6B0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D096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546A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5568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69FCC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EBC8E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6FD2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A31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82675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F437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9A9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4DDE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FC05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w:t>
            </w:r>
          </w:p>
        </w:tc>
        <w:tc>
          <w:tcPr>
            <w:tcW w:w="1217" w:type="dxa"/>
            <w:tcBorders>
              <w:top w:val="nil"/>
              <w:left w:val="nil"/>
              <w:bottom w:val="single" w:color="auto" w:sz="4" w:space="0"/>
              <w:right w:val="single" w:color="auto" w:sz="4" w:space="0"/>
            </w:tcBorders>
            <w:shd w:val="clear" w:color="auto" w:fill="auto"/>
            <w:noWrap/>
            <w:vAlign w:val="center"/>
          </w:tcPr>
          <w:p w14:paraId="4DFB5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1D62E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5162F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7731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B18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EC446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52D1C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F6477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B5DB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B70B7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941F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E2D75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97C6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AF44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DD6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342C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4406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EEB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758E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F517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2.41</w:t>
            </w:r>
          </w:p>
        </w:tc>
        <w:tc>
          <w:tcPr>
            <w:tcW w:w="1217" w:type="dxa"/>
            <w:tcBorders>
              <w:top w:val="nil"/>
              <w:left w:val="nil"/>
              <w:bottom w:val="single" w:color="auto" w:sz="4" w:space="0"/>
              <w:right w:val="single" w:color="auto" w:sz="4" w:space="0"/>
            </w:tcBorders>
            <w:shd w:val="clear" w:color="auto" w:fill="auto"/>
            <w:noWrap/>
            <w:vAlign w:val="center"/>
          </w:tcPr>
          <w:p w14:paraId="5DC7E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4EEEB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94BF4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52B6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B99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9901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9F90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1.54</w:t>
            </w:r>
          </w:p>
        </w:tc>
        <w:tc>
          <w:tcPr>
            <w:tcW w:w="1116" w:type="dxa"/>
            <w:tcBorders>
              <w:top w:val="nil"/>
              <w:left w:val="nil"/>
              <w:bottom w:val="single" w:color="auto" w:sz="4" w:space="0"/>
              <w:right w:val="single" w:color="auto" w:sz="4" w:space="0"/>
            </w:tcBorders>
            <w:shd w:val="clear" w:color="auto" w:fill="auto"/>
            <w:noWrap/>
            <w:vAlign w:val="center"/>
          </w:tcPr>
          <w:p w14:paraId="5D126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87B1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F325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0.62</w:t>
            </w:r>
          </w:p>
        </w:tc>
        <w:tc>
          <w:tcPr>
            <w:tcW w:w="1217" w:type="dxa"/>
            <w:tcBorders>
              <w:top w:val="nil"/>
              <w:left w:val="nil"/>
              <w:bottom w:val="single" w:color="auto" w:sz="4" w:space="0"/>
              <w:right w:val="single" w:color="auto" w:sz="4" w:space="0"/>
            </w:tcBorders>
            <w:shd w:val="clear" w:color="auto" w:fill="auto"/>
            <w:noWrap/>
            <w:vAlign w:val="center"/>
          </w:tcPr>
          <w:p w14:paraId="7D40E6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FC24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BBDB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53F6B29">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303E6CA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7D8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9775C6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68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991FA19">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41DD994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45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01FD19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DB2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02C62F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BA9E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D8F7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885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85A58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BF63C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A47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5562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02A5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9E7CD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4B22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D1C8D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1FE5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3BE6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8EFE6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FFB8B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11B86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2E7F4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66EB7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9.2</w:t>
            </w:r>
          </w:p>
        </w:tc>
        <w:tc>
          <w:tcPr>
            <w:tcW w:w="1217" w:type="dxa"/>
            <w:tcBorders>
              <w:top w:val="nil"/>
              <w:left w:val="nil"/>
              <w:bottom w:val="single" w:color="auto" w:sz="4" w:space="0"/>
              <w:right w:val="single" w:color="auto" w:sz="4" w:space="0"/>
            </w:tcBorders>
            <w:shd w:val="clear" w:color="auto" w:fill="auto"/>
            <w:noWrap/>
            <w:vAlign w:val="center"/>
          </w:tcPr>
          <w:p w14:paraId="7F317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46AF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6C68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414A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1D34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349B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7E9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1.21</w:t>
            </w:r>
          </w:p>
        </w:tc>
        <w:tc>
          <w:tcPr>
            <w:tcW w:w="1116" w:type="dxa"/>
            <w:tcBorders>
              <w:top w:val="nil"/>
              <w:left w:val="nil"/>
              <w:bottom w:val="single" w:color="auto" w:sz="4" w:space="0"/>
              <w:right w:val="single" w:color="auto" w:sz="4" w:space="0"/>
            </w:tcBorders>
            <w:shd w:val="clear" w:color="auto" w:fill="auto"/>
            <w:noWrap/>
            <w:vAlign w:val="center"/>
          </w:tcPr>
          <w:p w14:paraId="711118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40754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B5578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99810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3497D6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E6FB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BD00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870B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7FE18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640E5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3447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5A2C0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7DED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2.17</w:t>
            </w:r>
          </w:p>
        </w:tc>
        <w:tc>
          <w:tcPr>
            <w:tcW w:w="1217" w:type="dxa"/>
            <w:tcBorders>
              <w:top w:val="nil"/>
              <w:left w:val="nil"/>
              <w:bottom w:val="single" w:color="auto" w:sz="4" w:space="0"/>
              <w:right w:val="single" w:color="auto" w:sz="4" w:space="0"/>
            </w:tcBorders>
            <w:shd w:val="clear" w:color="auto" w:fill="auto"/>
            <w:noWrap/>
            <w:vAlign w:val="center"/>
          </w:tcPr>
          <w:p w14:paraId="50CAAAB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8FCB75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29C5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A477D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A7DE8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313B37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175.33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FFF8B6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0C6DDE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16.29</w:t>
            </w:r>
          </w:p>
        </w:tc>
      </w:tr>
    </w:tbl>
    <w:p w14:paraId="214B6B7B">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D9D008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C5C610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0FDBB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47F05C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蓝山县商业与物资企业改制服务办公室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6C2018B">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122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C43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DD0F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E841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36F7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56850B0">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52B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B0C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5495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6848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E26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40B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BD2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7CD00">
            <w:pPr>
              <w:widowControl/>
              <w:jc w:val="center"/>
              <w:rPr>
                <w:rFonts w:ascii="Times New Roman" w:hAnsi="Times New Roman" w:eastAsia="仿宋_GB2312" w:cs="Times New Roman"/>
                <w:color w:val="000000"/>
                <w:sz w:val="24"/>
                <w:szCs w:val="24"/>
              </w:rPr>
            </w:pPr>
          </w:p>
        </w:tc>
      </w:tr>
      <w:tr w14:paraId="28D5DB0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2511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569A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A1C9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98F3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72A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5E1E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3DCE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9E442">
            <w:pPr>
              <w:jc w:val="center"/>
              <w:rPr>
                <w:rFonts w:ascii="Times New Roman" w:hAnsi="Times New Roman" w:eastAsia="仿宋_GB2312" w:cs="Times New Roman"/>
                <w:color w:val="000000"/>
                <w:sz w:val="24"/>
                <w:szCs w:val="24"/>
              </w:rPr>
            </w:pPr>
          </w:p>
        </w:tc>
      </w:tr>
      <w:tr w14:paraId="2313EFC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992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678A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D444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8026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018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FA47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E86F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74C10">
            <w:pPr>
              <w:jc w:val="center"/>
              <w:rPr>
                <w:rFonts w:ascii="Times New Roman" w:hAnsi="Times New Roman" w:eastAsia="仿宋_GB2312" w:cs="Times New Roman"/>
                <w:color w:val="000000"/>
                <w:sz w:val="24"/>
                <w:szCs w:val="24"/>
              </w:rPr>
            </w:pPr>
          </w:p>
        </w:tc>
      </w:tr>
      <w:tr w14:paraId="78962AC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FF9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5A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E0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31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49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1B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02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CFB46B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C2F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FD89">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C28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8371">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BDC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C5C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7FD0">
            <w:pPr>
              <w:jc w:val="center"/>
              <w:rPr>
                <w:rFonts w:ascii="Times New Roman" w:hAnsi="Times New Roman" w:eastAsia="仿宋_GB2312" w:cs="Times New Roman"/>
                <w:color w:val="000000"/>
                <w:sz w:val="24"/>
                <w:szCs w:val="24"/>
              </w:rPr>
            </w:pPr>
          </w:p>
        </w:tc>
      </w:tr>
      <w:tr w14:paraId="09E7344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6B34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8DD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F4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05F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F86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B8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F4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1463">
            <w:pPr>
              <w:rPr>
                <w:rFonts w:ascii="Times New Roman" w:hAnsi="Times New Roman" w:eastAsia="仿宋_GB2312" w:cs="Times New Roman"/>
                <w:color w:val="000000"/>
                <w:sz w:val="24"/>
                <w:szCs w:val="24"/>
              </w:rPr>
            </w:pPr>
          </w:p>
        </w:tc>
      </w:tr>
      <w:tr w14:paraId="2C8369A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D29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392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153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83F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C60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2A0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0C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5637">
            <w:pPr>
              <w:rPr>
                <w:rFonts w:ascii="Times New Roman" w:hAnsi="Times New Roman" w:eastAsia="仿宋_GB2312" w:cs="Times New Roman"/>
                <w:color w:val="000000"/>
                <w:sz w:val="24"/>
                <w:szCs w:val="24"/>
              </w:rPr>
            </w:pPr>
          </w:p>
        </w:tc>
      </w:tr>
      <w:tr w14:paraId="5F16ECA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FFE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C76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39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A7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DA8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1F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17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64D7">
            <w:pPr>
              <w:rPr>
                <w:rFonts w:ascii="Times New Roman" w:hAnsi="Times New Roman" w:eastAsia="仿宋_GB2312" w:cs="Times New Roman"/>
                <w:color w:val="000000"/>
                <w:sz w:val="24"/>
                <w:szCs w:val="24"/>
              </w:rPr>
            </w:pPr>
          </w:p>
        </w:tc>
      </w:tr>
      <w:tr w14:paraId="2ACA79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B3D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F45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DDE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D6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258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83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C7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F570">
            <w:pPr>
              <w:rPr>
                <w:rFonts w:ascii="Times New Roman" w:hAnsi="Times New Roman" w:eastAsia="仿宋_GB2312" w:cs="Times New Roman"/>
                <w:color w:val="000000"/>
                <w:sz w:val="24"/>
                <w:szCs w:val="24"/>
              </w:rPr>
            </w:pPr>
          </w:p>
        </w:tc>
      </w:tr>
      <w:tr w14:paraId="310E46C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ECE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01F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7EA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C2D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1F1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ED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651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A244">
            <w:pPr>
              <w:rPr>
                <w:rFonts w:ascii="Times New Roman" w:hAnsi="Times New Roman" w:eastAsia="仿宋_GB2312" w:cs="Times New Roman"/>
                <w:color w:val="000000"/>
                <w:sz w:val="24"/>
                <w:szCs w:val="24"/>
              </w:rPr>
            </w:pPr>
          </w:p>
        </w:tc>
      </w:tr>
      <w:tr w14:paraId="3B8E7B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D05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CC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247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AE4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D85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F0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421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913A">
            <w:pPr>
              <w:rPr>
                <w:rFonts w:ascii="Times New Roman" w:hAnsi="Times New Roman" w:eastAsia="仿宋_GB2312" w:cs="Times New Roman"/>
                <w:color w:val="000000"/>
                <w:sz w:val="24"/>
                <w:szCs w:val="24"/>
              </w:rPr>
            </w:pPr>
          </w:p>
        </w:tc>
      </w:tr>
    </w:tbl>
    <w:p w14:paraId="4840BD0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B0F0B45">
      <w:pPr>
        <w:widowControl/>
        <w:jc w:val="left"/>
        <w:textAlignment w:val="center"/>
        <w:rPr>
          <w:rFonts w:ascii="Times New Roman" w:hAnsi="Times New Roman" w:eastAsia="仿宋_GB2312" w:cs="Times New Roman"/>
          <w:color w:val="000000"/>
          <w:kern w:val="0"/>
          <w:sz w:val="24"/>
          <w:szCs w:val="24"/>
          <w:lang w:bidi="ar"/>
        </w:rPr>
      </w:pPr>
    </w:p>
    <w:p w14:paraId="05954C80">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AA51516">
      <w:pPr>
        <w:widowControl/>
        <w:jc w:val="center"/>
        <w:rPr>
          <w:rFonts w:ascii="Times New Roman" w:hAnsi="Times New Roman" w:eastAsia="方正小标宋_GBK" w:cs="Times New Roman"/>
          <w:color w:val="000000"/>
          <w:kern w:val="0"/>
          <w:sz w:val="36"/>
          <w:szCs w:val="36"/>
        </w:rPr>
      </w:pPr>
    </w:p>
    <w:p w14:paraId="5A4487E2">
      <w:pPr>
        <w:widowControl/>
        <w:spacing w:line="400" w:lineRule="exact"/>
        <w:textAlignment w:val="center"/>
        <w:rPr>
          <w:rFonts w:ascii="Times New Roman" w:hAnsi="Times New Roman" w:eastAsia="黑体" w:cs="Times New Roman"/>
          <w:color w:val="000000"/>
          <w:kern w:val="0"/>
          <w:sz w:val="36"/>
          <w:szCs w:val="36"/>
          <w:lang w:bidi="ar"/>
        </w:rPr>
      </w:pPr>
    </w:p>
    <w:p w14:paraId="0E31C7E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30C946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E80160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蓝山县商业与物资企业改制服务办公室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5F2D45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175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AFB4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D1B2A2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84C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37B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A25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A25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16D4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379890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67FC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A144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B8DB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3A7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34F5C">
            <w:pPr>
              <w:jc w:val="center"/>
              <w:rPr>
                <w:rFonts w:ascii="Times New Roman" w:hAnsi="Times New Roman" w:eastAsia="仿宋_GB2312" w:cs="Times New Roman"/>
                <w:color w:val="000000"/>
                <w:sz w:val="24"/>
                <w:szCs w:val="24"/>
              </w:rPr>
            </w:pPr>
          </w:p>
        </w:tc>
      </w:tr>
      <w:tr w14:paraId="3D9FEEC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03E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3841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D476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DCF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98E2A">
            <w:pPr>
              <w:jc w:val="center"/>
              <w:rPr>
                <w:rFonts w:ascii="Times New Roman" w:hAnsi="Times New Roman" w:eastAsia="仿宋_GB2312" w:cs="Times New Roman"/>
                <w:color w:val="000000"/>
                <w:sz w:val="24"/>
                <w:szCs w:val="24"/>
              </w:rPr>
            </w:pPr>
          </w:p>
        </w:tc>
      </w:tr>
      <w:tr w14:paraId="14BC1E3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E33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58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D1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79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0CA2C4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695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557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14F5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2F030">
            <w:pPr>
              <w:jc w:val="center"/>
              <w:rPr>
                <w:rFonts w:ascii="Times New Roman" w:hAnsi="Times New Roman" w:eastAsia="仿宋_GB2312" w:cs="Times New Roman"/>
                <w:color w:val="000000"/>
                <w:sz w:val="24"/>
                <w:szCs w:val="24"/>
              </w:rPr>
            </w:pPr>
          </w:p>
        </w:tc>
      </w:tr>
      <w:tr w14:paraId="1FE1B84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9741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96E6">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ADB4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0208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9B17">
            <w:pPr>
              <w:rPr>
                <w:rFonts w:ascii="Times New Roman" w:hAnsi="Times New Roman" w:eastAsia="仿宋_GB2312" w:cs="Times New Roman"/>
                <w:color w:val="000000"/>
                <w:sz w:val="24"/>
                <w:szCs w:val="24"/>
              </w:rPr>
            </w:pPr>
          </w:p>
        </w:tc>
      </w:tr>
      <w:tr w14:paraId="205BE8E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E63A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1763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C4E3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C19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8176">
            <w:pPr>
              <w:rPr>
                <w:rFonts w:ascii="Times New Roman" w:hAnsi="Times New Roman" w:eastAsia="仿宋_GB2312" w:cs="Times New Roman"/>
                <w:color w:val="000000"/>
                <w:sz w:val="24"/>
                <w:szCs w:val="24"/>
              </w:rPr>
            </w:pPr>
          </w:p>
        </w:tc>
      </w:tr>
      <w:tr w14:paraId="4DB5011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1FF1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337A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E7B2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563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804F">
            <w:pPr>
              <w:rPr>
                <w:rFonts w:ascii="Times New Roman" w:hAnsi="Times New Roman" w:eastAsia="宋体" w:cs="Times New Roman"/>
                <w:color w:val="000000"/>
                <w:sz w:val="24"/>
                <w:szCs w:val="24"/>
              </w:rPr>
            </w:pPr>
          </w:p>
        </w:tc>
      </w:tr>
      <w:tr w14:paraId="2D6871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B3D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B3B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EC5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B1EF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F35D">
            <w:pPr>
              <w:rPr>
                <w:rFonts w:ascii="Times New Roman" w:hAnsi="Times New Roman" w:eastAsia="宋体" w:cs="Times New Roman"/>
                <w:color w:val="000000"/>
                <w:sz w:val="24"/>
                <w:szCs w:val="24"/>
              </w:rPr>
            </w:pPr>
          </w:p>
        </w:tc>
      </w:tr>
      <w:tr w14:paraId="7B1896B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4FD3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2C1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42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4F2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9EE93">
            <w:pPr>
              <w:rPr>
                <w:rFonts w:ascii="Times New Roman" w:hAnsi="Times New Roman" w:eastAsia="宋体" w:cs="Times New Roman"/>
                <w:color w:val="000000"/>
                <w:sz w:val="24"/>
                <w:szCs w:val="24"/>
              </w:rPr>
            </w:pPr>
          </w:p>
        </w:tc>
      </w:tr>
      <w:tr w14:paraId="51DF865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95C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841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5B1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F8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68B8">
            <w:pPr>
              <w:rPr>
                <w:rFonts w:ascii="Times New Roman" w:hAnsi="Times New Roman" w:eastAsia="宋体" w:cs="Times New Roman"/>
                <w:color w:val="000000"/>
                <w:sz w:val="24"/>
                <w:szCs w:val="24"/>
              </w:rPr>
            </w:pPr>
          </w:p>
        </w:tc>
      </w:tr>
    </w:tbl>
    <w:p w14:paraId="2B57F0D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42DC0BE">
      <w:pPr>
        <w:widowControl/>
        <w:jc w:val="left"/>
        <w:textAlignment w:val="center"/>
        <w:rPr>
          <w:rFonts w:ascii="Times New Roman" w:hAnsi="Times New Roman" w:eastAsia="宋体" w:cs="Times New Roman"/>
          <w:color w:val="000000"/>
          <w:kern w:val="0"/>
          <w:sz w:val="24"/>
          <w:szCs w:val="24"/>
          <w:lang w:bidi="ar"/>
        </w:rPr>
      </w:pPr>
    </w:p>
    <w:p w14:paraId="0524394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F565D85">
      <w:pPr>
        <w:widowControl/>
        <w:jc w:val="center"/>
        <w:rPr>
          <w:rFonts w:ascii="Times New Roman" w:hAnsi="Times New Roman" w:eastAsia="方正小标宋_GBK" w:cs="Times New Roman"/>
          <w:color w:val="000000"/>
          <w:kern w:val="0"/>
          <w:sz w:val="36"/>
          <w:szCs w:val="36"/>
        </w:rPr>
      </w:pPr>
    </w:p>
    <w:p w14:paraId="03BF6944">
      <w:pPr>
        <w:pStyle w:val="8"/>
        <w:spacing w:line="400" w:lineRule="exact"/>
        <w:rPr>
          <w:rFonts w:ascii="Times New Roman" w:hAnsi="Times New Roman" w:eastAsia="华文中宋" w:cs="Times New Roman"/>
          <w:color w:val="000000"/>
          <w:kern w:val="0"/>
          <w:sz w:val="32"/>
          <w:szCs w:val="32"/>
          <w:lang w:bidi="ar"/>
        </w:rPr>
      </w:pPr>
    </w:p>
    <w:p w14:paraId="4782C21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1C75D2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7856C1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蓝山县商业与物资企业改制服务办公室</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36E66C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5388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02CB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14E70D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5A4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F17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479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2A6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2CC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9BE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0A3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728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4017D0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81AFB">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36E1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640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34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35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F1820">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40D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3764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828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70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109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99CDE">
            <w:pPr>
              <w:jc w:val="center"/>
              <w:rPr>
                <w:rFonts w:ascii="Times New Roman" w:hAnsi="Times New Roman" w:eastAsia="仿宋_GB2312" w:cs="Times New Roman"/>
                <w:color w:val="000000"/>
                <w:sz w:val="22"/>
              </w:rPr>
            </w:pPr>
          </w:p>
        </w:tc>
      </w:tr>
      <w:tr w14:paraId="76EE71E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58D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18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FDD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ECA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CD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21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A6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1E5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33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F0D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086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06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F06C707">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8BD2F">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9D76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09318">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7F61">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38E8">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724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0.35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18B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3B8B0">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D1855">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31FB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F9C2">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E3A4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463A5CA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F374DD5">
      <w:pPr>
        <w:autoSpaceDE w:val="0"/>
        <w:autoSpaceDN w:val="0"/>
        <w:adjustRightInd w:val="0"/>
        <w:ind w:left="315" w:leftChars="150"/>
        <w:jc w:val="left"/>
        <w:rPr>
          <w:rFonts w:ascii="Times New Roman" w:hAnsi="Times New Roman" w:eastAsia="宋体" w:cs="Times New Roman"/>
          <w:kern w:val="0"/>
          <w:sz w:val="24"/>
          <w:szCs w:val="24"/>
        </w:rPr>
      </w:pPr>
    </w:p>
    <w:p w14:paraId="1DB22D59">
      <w:pPr>
        <w:autoSpaceDE w:val="0"/>
        <w:autoSpaceDN w:val="0"/>
        <w:adjustRightInd w:val="0"/>
        <w:ind w:left="315" w:leftChars="150"/>
        <w:jc w:val="left"/>
        <w:rPr>
          <w:rFonts w:ascii="Times New Roman" w:hAnsi="Times New Roman" w:eastAsia="宋体" w:cs="Times New Roman"/>
          <w:kern w:val="0"/>
          <w:sz w:val="24"/>
          <w:szCs w:val="24"/>
        </w:rPr>
      </w:pPr>
    </w:p>
    <w:p w14:paraId="740D38D4">
      <w:pPr>
        <w:autoSpaceDE w:val="0"/>
        <w:autoSpaceDN w:val="0"/>
        <w:adjustRightInd w:val="0"/>
        <w:ind w:left="315" w:leftChars="150"/>
        <w:jc w:val="left"/>
        <w:rPr>
          <w:rFonts w:ascii="Times New Roman" w:hAnsi="Times New Roman" w:eastAsia="宋体" w:cs="Times New Roman"/>
          <w:kern w:val="0"/>
          <w:sz w:val="24"/>
          <w:szCs w:val="24"/>
        </w:rPr>
      </w:pPr>
    </w:p>
    <w:p w14:paraId="7B12C92C">
      <w:pPr>
        <w:autoSpaceDE w:val="0"/>
        <w:autoSpaceDN w:val="0"/>
        <w:adjustRightInd w:val="0"/>
        <w:ind w:left="315" w:leftChars="150"/>
        <w:jc w:val="left"/>
        <w:rPr>
          <w:rFonts w:ascii="Times New Roman" w:hAnsi="Times New Roman" w:eastAsia="宋体" w:cs="Times New Roman"/>
          <w:kern w:val="0"/>
          <w:sz w:val="24"/>
          <w:szCs w:val="24"/>
        </w:rPr>
      </w:pPr>
    </w:p>
    <w:p w14:paraId="43BF7D69">
      <w:pPr>
        <w:autoSpaceDE w:val="0"/>
        <w:autoSpaceDN w:val="0"/>
        <w:adjustRightInd w:val="0"/>
        <w:ind w:left="315" w:leftChars="150"/>
        <w:jc w:val="left"/>
        <w:rPr>
          <w:rFonts w:ascii="Times New Roman" w:hAnsi="Times New Roman" w:eastAsia="宋体" w:cs="Times New Roman"/>
          <w:kern w:val="0"/>
          <w:sz w:val="24"/>
          <w:szCs w:val="24"/>
        </w:rPr>
      </w:pPr>
    </w:p>
    <w:p w14:paraId="418F4FB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411C6F6">
      <w:pPr>
        <w:pStyle w:val="14"/>
        <w:rPr>
          <w:rFonts w:ascii="Times New Roman" w:hAnsi="Times New Roman" w:cs="Times New Roman"/>
          <w:sz w:val="72"/>
          <w:szCs w:val="72"/>
        </w:rPr>
      </w:pPr>
    </w:p>
    <w:p w14:paraId="0647AC66">
      <w:pPr>
        <w:pStyle w:val="14"/>
        <w:rPr>
          <w:rFonts w:ascii="Times New Roman" w:hAnsi="Times New Roman" w:cs="Times New Roman"/>
          <w:sz w:val="72"/>
          <w:szCs w:val="72"/>
        </w:rPr>
      </w:pPr>
    </w:p>
    <w:p w14:paraId="17CE4422">
      <w:pPr>
        <w:pStyle w:val="14"/>
        <w:rPr>
          <w:rFonts w:ascii="Times New Roman" w:hAnsi="Times New Roman" w:cs="Times New Roman"/>
          <w:sz w:val="72"/>
          <w:szCs w:val="72"/>
        </w:rPr>
      </w:pPr>
    </w:p>
    <w:p w14:paraId="1EBE15DC">
      <w:pPr>
        <w:pStyle w:val="14"/>
        <w:jc w:val="center"/>
        <w:rPr>
          <w:rFonts w:ascii="Times New Roman" w:hAnsi="Times New Roman" w:cs="Times New Roman"/>
          <w:sz w:val="72"/>
          <w:szCs w:val="72"/>
        </w:rPr>
      </w:pPr>
    </w:p>
    <w:p w14:paraId="1DB035DF">
      <w:pPr>
        <w:pStyle w:val="14"/>
        <w:jc w:val="center"/>
        <w:rPr>
          <w:rFonts w:ascii="Times New Roman" w:hAnsi="Times New Roman" w:eastAsia="方正小标宋_GBK" w:cs="Times New Roman"/>
          <w:sz w:val="72"/>
          <w:szCs w:val="72"/>
        </w:rPr>
      </w:pPr>
    </w:p>
    <w:p w14:paraId="1440E98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BD0751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1B507F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F5CF1A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07B747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color w:val="auto"/>
          <w:sz w:val="32"/>
          <w:szCs w:val="32"/>
        </w:rPr>
        <w:t>192.72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color w:val="auto"/>
          <w:sz w:val="32"/>
          <w:szCs w:val="32"/>
        </w:rPr>
        <w:t>27.74</w:t>
      </w:r>
      <w:r>
        <w:rPr>
          <w:rFonts w:ascii="Times New Roman" w:hAnsi="Times New Roman" w:eastAsia="仿宋_GB2312" w:cs="Times New Roman"/>
          <w:sz w:val="32"/>
          <w:szCs w:val="32"/>
        </w:rPr>
        <w:t>万元，增长</w:t>
      </w:r>
      <w:r>
        <w:rPr>
          <w:rFonts w:hint="eastAsia" w:ascii="Times New Roman" w:hAnsi="Times New Roman" w:eastAsia="仿宋_GB2312" w:cs="Times New Roman"/>
          <w:color w:val="auto"/>
          <w:sz w:val="32"/>
          <w:szCs w:val="32"/>
        </w:rPr>
        <w:t>16.81%，主要是人员工资福利、社保缴费及抚恤补助等人员相关经费增加</w:t>
      </w:r>
      <w:r>
        <w:rPr>
          <w:rFonts w:hint="eastAsia" w:ascii="Times New Roman" w:hAnsi="Times New Roman" w:eastAsia="仿宋_GB2312" w:cs="Times New Roman"/>
          <w:sz w:val="32"/>
          <w:szCs w:val="32"/>
          <w:lang w:eastAsia="zh-CN"/>
        </w:rPr>
        <w:t>。</w:t>
      </w:r>
    </w:p>
    <w:p w14:paraId="1C45B509">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color w:val="auto"/>
          <w:sz w:val="32"/>
          <w:szCs w:val="32"/>
        </w:rPr>
        <w:t>合理保障人员工资福利、社保医保、企业改制相关服务等重点支出，体现在有关支出科目中。</w:t>
      </w:r>
    </w:p>
    <w:p w14:paraId="32A10B8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9E2F5D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color w:val="auto"/>
          <w:sz w:val="32"/>
          <w:szCs w:val="32"/>
        </w:rPr>
        <w:t>192.72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color w:val="auto"/>
          <w:sz w:val="32"/>
          <w:szCs w:val="32"/>
        </w:rPr>
        <w:t>191.62</w:t>
      </w:r>
      <w:r>
        <w:rPr>
          <w:rFonts w:ascii="Times New Roman" w:hAnsi="Times New Roman" w:eastAsia="仿宋_GB2312" w:cs="Times New Roman"/>
          <w:sz w:val="32"/>
          <w:szCs w:val="32"/>
        </w:rPr>
        <w:t>万元，占</w:t>
      </w:r>
      <w:r>
        <w:rPr>
          <w:rFonts w:hint="eastAsia" w:ascii="Times New Roman" w:hAnsi="Times New Roman" w:eastAsia="仿宋_GB2312" w:cs="Times New Roman"/>
          <w:color w:val="auto"/>
          <w:sz w:val="32"/>
          <w:szCs w:val="32"/>
        </w:rPr>
        <w:t xml:space="preserve"> 99.43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sz w:val="32"/>
          <w:szCs w:val="32"/>
        </w:rPr>
        <w:t>万元，占</w:t>
      </w:r>
      <w:r>
        <w:rPr>
          <w:rFonts w:hint="eastAsia" w:ascii="Times New Roman" w:hAnsi="Times New Roman" w:eastAsia="仿宋_GB2312" w:cs="Times New Roman"/>
          <w:color w:val="auto"/>
          <w:sz w:val="32"/>
          <w:szCs w:val="32"/>
        </w:rPr>
        <w:t>0.57</w:t>
      </w:r>
      <w:r>
        <w:rPr>
          <w:rFonts w:ascii="Times New Roman" w:hAnsi="Times New Roman" w:eastAsia="仿宋_GB2312" w:cs="Times New Roman"/>
          <w:sz w:val="32"/>
          <w:szCs w:val="32"/>
        </w:rPr>
        <w:t>%；</w:t>
      </w:r>
    </w:p>
    <w:p w14:paraId="45A35F7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2C36C0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color w:val="auto"/>
          <w:sz w:val="32"/>
          <w:szCs w:val="32"/>
        </w:rPr>
        <w:t>192.72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color w:val="auto"/>
          <w:sz w:val="32"/>
          <w:szCs w:val="32"/>
        </w:rPr>
        <w:t>192.72</w:t>
      </w:r>
      <w:r>
        <w:rPr>
          <w:rFonts w:ascii="Times New Roman" w:hAnsi="Times New Roman" w:eastAsia="仿宋_GB2312" w:cs="Times New Roman"/>
          <w:sz w:val="32"/>
          <w:szCs w:val="32"/>
        </w:rPr>
        <w:t>万元，占</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52B65B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9440F2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color w:val="auto"/>
          <w:sz w:val="32"/>
          <w:szCs w:val="32"/>
        </w:rPr>
        <w:t xml:space="preserve">191.62 </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color w:val="auto"/>
          <w:sz w:val="32"/>
          <w:szCs w:val="32"/>
        </w:rPr>
        <w:t>增加 26.64</w:t>
      </w:r>
      <w:r>
        <w:rPr>
          <w:rFonts w:ascii="Times New Roman" w:hAnsi="Times New Roman" w:eastAsia="仿宋_GB2312" w:cs="Times New Roman"/>
          <w:sz w:val="32"/>
          <w:szCs w:val="32"/>
        </w:rPr>
        <w:t>万元,增长</w:t>
      </w:r>
      <w:r>
        <w:rPr>
          <w:rFonts w:hint="eastAsia" w:ascii="Times New Roman" w:hAnsi="Times New Roman" w:eastAsia="仿宋_GB2312" w:cs="Times New Roman"/>
          <w:color w:val="auto"/>
          <w:sz w:val="32"/>
          <w:szCs w:val="32"/>
        </w:rPr>
        <w:t>16.15%，主要是人员基本工资、社保缴费、抚恤待遇等人员类经费增加。</w:t>
      </w:r>
    </w:p>
    <w:p w14:paraId="3C9E273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3904DB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2052199">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color w:val="auto"/>
          <w:sz w:val="32"/>
          <w:szCs w:val="32"/>
        </w:rPr>
        <w:t xml:space="preserve"> 191.62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color w:val="auto"/>
          <w:sz w:val="32"/>
          <w:szCs w:val="32"/>
        </w:rPr>
        <w:t>99.43%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color w:val="auto"/>
          <w:sz w:val="32"/>
          <w:szCs w:val="32"/>
        </w:rPr>
        <w:t xml:space="preserve"> 26.64 万元，增长 16.15%，主要是人员工资福利、社会保障缴费、抚恤补助等人员相关经费增加。</w:t>
      </w:r>
    </w:p>
    <w:p w14:paraId="0C3E723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77C50C5">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2025 年度财政拨款支出 191.62 万元，主要用于以下方面：一般公共服务（类）支出 0.45 万元，占 0.24%；社会保障和就业（类）支出 38.27 万元，占 19.97%；卫生健康（类）支出 7.79 万元，占 4.07%；商业服务业等（类）支出 145.12 万元，占 75.73%。</w:t>
      </w:r>
    </w:p>
    <w:p w14:paraId="0DBDB75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3EDC30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年度财政拨款支出决算数为</w:t>
      </w:r>
      <w:r>
        <w:rPr>
          <w:rFonts w:hint="eastAsia" w:ascii="Times New Roman" w:hAnsi="Times New Roman" w:eastAsia="仿宋_GB2312" w:cs="Times New Roman"/>
          <w:color w:val="auto"/>
          <w:sz w:val="32"/>
          <w:szCs w:val="32"/>
        </w:rPr>
        <w:t>191.62</w:t>
      </w:r>
      <w:r>
        <w:rPr>
          <w:rFonts w:ascii="Times New Roman" w:hAnsi="Times New Roman" w:eastAsia="仿宋_GB2312" w:cs="Times New Roman"/>
          <w:sz w:val="32"/>
          <w:szCs w:val="32"/>
        </w:rPr>
        <w:t>万元，其中：</w:t>
      </w:r>
    </w:p>
    <w:p w14:paraId="64B0C27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color w:val="auto"/>
          <w:sz w:val="32"/>
          <w:szCs w:val="32"/>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color w:val="auto"/>
          <w:sz w:val="32"/>
          <w:szCs w:val="32"/>
        </w:rPr>
        <w:t>其他一般公共服务支出</w:t>
      </w:r>
      <w:r>
        <w:rPr>
          <w:rFonts w:ascii="Times New Roman" w:hAnsi="Times New Roman" w:eastAsia="仿宋_GB2312" w:cs="Times New Roman"/>
          <w:sz w:val="32"/>
          <w:szCs w:val="32"/>
        </w:rPr>
        <w:t>（项）。支出决算为</w:t>
      </w:r>
      <w:r>
        <w:rPr>
          <w:rFonts w:hint="eastAsia" w:ascii="Times New Roman" w:hAnsi="Times New Roman" w:eastAsia="仿宋_GB2312" w:cs="Times New Roman"/>
          <w:color w:val="auto"/>
          <w:sz w:val="32"/>
          <w:szCs w:val="32"/>
        </w:rPr>
        <w:t>0.45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9ADEED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color w:val="auto"/>
          <w:sz w:val="32"/>
          <w:szCs w:val="32"/>
        </w:rPr>
        <w:t>社会保障和就业（类）行政事业单位养老支出（款）事业单位离退休（项）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年初预算为16.30万元，支出决算为15.90万元，完成年初预算的97.55%。决算数小于年初预算数的主要原因：本年度离退休人员相关补助、福利支出按实际在岗及离退休人员情况据实结算，部分预留预算资金未实际列支，支出较年初预算略有节约。</w:t>
      </w:r>
    </w:p>
    <w:p w14:paraId="2502BD73">
      <w:pPr>
        <w:pStyle w:val="14"/>
        <w:numPr>
          <w:ilvl w:val="0"/>
          <w:numId w:val="1"/>
        </w:num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auto"/>
          <w:sz w:val="32"/>
          <w:szCs w:val="32"/>
        </w:rPr>
        <w:t>社会保障和就业（类）行政事业单位养老支出（款）机关事业单位基本养老保险缴费支出（项）。</w:t>
      </w:r>
      <w:r>
        <w:rPr>
          <w:rFonts w:ascii="Times New Roman" w:hAnsi="Times New Roman" w:eastAsia="仿宋_GB2312" w:cs="Times New Roman"/>
          <w:sz w:val="32"/>
          <w:szCs w:val="32"/>
        </w:rPr>
        <w:t>支出决算为</w:t>
      </w:r>
      <w:r>
        <w:rPr>
          <w:rFonts w:hint="eastAsia" w:ascii="Times New Roman" w:hAnsi="Times New Roman" w:eastAsia="仿宋_GB2312" w:cs="Times New Roman"/>
          <w:color w:val="auto"/>
          <w:sz w:val="32"/>
          <w:szCs w:val="32"/>
          <w:lang w:val="en-US" w:eastAsia="zh-CN"/>
        </w:rPr>
        <w:t>17.32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54C856A">
      <w:pPr>
        <w:pStyle w:val="14"/>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商业服务业等支出（类）商业流通事务（款）行政运行（项）。</w:t>
      </w:r>
      <w:r>
        <w:rPr>
          <w:rFonts w:hint="eastAsia" w:ascii="Times New Roman" w:hAnsi="Times New Roman" w:eastAsia="仿宋_GB2312" w:cs="Times New Roman"/>
          <w:sz w:val="32"/>
          <w:szCs w:val="32"/>
        </w:rPr>
        <w:t>年初预算为132.64万元，支出决算为144.87万元，完成年初预算的109.22%。决算数大于年初预算数的主要原因：本年度人员经费政策性调增、日常履职业务工作量增加，基础运行保障支出据实增加，导致实际决算支出较年初预算有所增长。</w:t>
      </w:r>
    </w:p>
    <w:p w14:paraId="3E01252F">
      <w:pPr>
        <w:pStyle w:val="14"/>
        <w:numPr>
          <w:ilvl w:val="0"/>
          <w:numId w:val="0"/>
        </w:numPr>
        <w:overflowPunct w:val="0"/>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商业服务业等支出（类）涉外发展服务支出（款）行政运行（项）。</w:t>
      </w:r>
      <w:r>
        <w:rPr>
          <w:rFonts w:ascii="Times New Roman" w:hAnsi="Times New Roman" w:eastAsia="仿宋_GB2312" w:cs="Times New Roman"/>
          <w:sz w:val="32"/>
          <w:szCs w:val="32"/>
        </w:rPr>
        <w:t>支出决算为</w:t>
      </w:r>
      <w:r>
        <w:rPr>
          <w:rFonts w:hint="eastAsia" w:ascii="Times New Roman" w:hAnsi="Times New Roman" w:eastAsia="仿宋_GB2312" w:cs="Times New Roman"/>
          <w:color w:val="auto"/>
          <w:sz w:val="32"/>
          <w:szCs w:val="32"/>
        </w:rPr>
        <w:t xml:space="preserve"> 0.25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A9C3456">
      <w:pPr>
        <w:pStyle w:val="14"/>
        <w:numPr>
          <w:ilvl w:val="0"/>
          <w:numId w:val="0"/>
        </w:numPr>
        <w:overflowPunct w:val="0"/>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、社会保障和就业（类）抚恤（款）死亡抚恤（项）。支出决算为 4.34 万元。</w:t>
      </w:r>
    </w:p>
    <w:p w14:paraId="35334D50">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rPr>
        <w:t>、社会保障和就业（类）抚恤（款）伤残抚恤（项）。支出决算为 0.71 万元。</w:t>
      </w:r>
    </w:p>
    <w:p w14:paraId="581BFD08">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rPr>
        <w:t>、卫生健康（类）行政事业单位医疗（款）事业单位医疗（项）。支出决算为 7.79 万元。</w:t>
      </w:r>
    </w:p>
    <w:p w14:paraId="375CB55C">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按照支出功能分类，商业服务业等支出方面的支出规模较大，主要是：商业流通事务行政运行，2025 年度决算数为 144.87 万元，占财政拨款支出总额的 75.60%，主要用于单位人员工资福利、日常运转及商业物资企业改制服务保障等方面。</w:t>
      </w:r>
    </w:p>
    <w:p w14:paraId="42CD040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08D557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color w:val="auto"/>
          <w:sz w:val="32"/>
          <w:szCs w:val="32"/>
        </w:rPr>
        <w:t xml:space="preserve">191.62 </w:t>
      </w:r>
      <w:r>
        <w:rPr>
          <w:rFonts w:ascii="Times New Roman" w:hAnsi="Times New Roman" w:eastAsia="仿宋_GB2312" w:cs="Times New Roman"/>
          <w:sz w:val="32"/>
          <w:szCs w:val="32"/>
        </w:rPr>
        <w:t>万元，其中：</w:t>
      </w:r>
    </w:p>
    <w:p w14:paraId="4A2A9B70">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color w:val="auto"/>
          <w:sz w:val="32"/>
          <w:szCs w:val="32"/>
        </w:rPr>
        <w:t xml:space="preserve"> 175.33</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rPr>
        <w:t>，占基本支出的 91.50%, 主要包括基本工资、津贴补贴、奖金、机关事业单位基本养老保险缴费、职工基本医疗保险缴费、其他社会保障缴费、其他工资福利支出、抚恤金、生活补助、奖励金、其他对个人和家庭的补助。</w:t>
      </w:r>
    </w:p>
    <w:p w14:paraId="318CBEE6">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16.29</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rPr>
        <w:t>占基本支出的 8.50%，主要包括办公费、水费、电费、邮电费、维修（护）费、培训费、劳务费、工会经费、福利费、其他交通费用、其他商品和服务支出。</w:t>
      </w:r>
    </w:p>
    <w:p w14:paraId="34D26B28">
      <w:pPr>
        <w:pStyle w:val="14"/>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F4E1744">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E74256C">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color w:val="auto"/>
          <w:sz w:val="32"/>
          <w:szCs w:val="32"/>
        </w:rPr>
        <w:t>严格落实厉行节约过紧日子要求，本年度未发生公务接待等三公经费开支。</w:t>
      </w:r>
    </w:p>
    <w:p w14:paraId="588FB81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DCE58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与上年相比持平，无增减变动。本年度无因公出国（境）工作安排，未发生相关经费支出。2025年度安排因公出国（境）团组0个，累计0人次</w:t>
      </w:r>
      <w:r>
        <w:rPr>
          <w:rFonts w:ascii="Times New Roman" w:hAnsi="Times New Roman" w:eastAsia="仿宋_GB2312" w:cs="Times New Roman"/>
          <w:sz w:val="32"/>
          <w:szCs w:val="32"/>
        </w:rPr>
        <w:t>。</w:t>
      </w:r>
    </w:p>
    <w:p w14:paraId="393655D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与上年相比持平，无增减变动。</w:t>
      </w:r>
      <w:r>
        <w:rPr>
          <w:rFonts w:ascii="Times New Roman" w:hAnsi="Times New Roman" w:eastAsia="仿宋_GB2312" w:cs="Times New Roman"/>
          <w:sz w:val="32"/>
          <w:szCs w:val="32"/>
        </w:rPr>
        <w:t>其中：</w:t>
      </w:r>
    </w:p>
    <w:p w14:paraId="41B492B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与上年相比持平，无增减变动</w:t>
      </w:r>
      <w:r>
        <w:rPr>
          <w:rFonts w:hint="eastAsia" w:ascii="Times New Roman" w:hAnsi="Times New Roman" w:eastAsia="仿宋_GB2312" w:cs="Times New Roman"/>
          <w:sz w:val="32"/>
          <w:szCs w:val="32"/>
          <w:lang w:eastAsia="zh-CN"/>
        </w:rPr>
        <w:t>。</w:t>
      </w:r>
    </w:p>
    <w:p w14:paraId="6A4552B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与上年相比持平，无增减变动</w:t>
      </w:r>
      <w:r>
        <w:rPr>
          <w:rFonts w:hint="eastAsia" w:ascii="Times New Roman" w:hAnsi="Times New Roman" w:eastAsia="仿宋_GB2312" w:cs="Times New Roman"/>
          <w:sz w:val="32"/>
          <w:szCs w:val="32"/>
          <w:lang w:eastAsia="zh-CN"/>
        </w:rPr>
        <w:t>。</w:t>
      </w:r>
    </w:p>
    <w:p w14:paraId="09B3B303">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截至</w:t>
      </w:r>
      <w:r>
        <w:rPr>
          <w:rFonts w:hint="eastAsia" w:ascii="Times New Roman" w:hAnsi="Times New Roman" w:eastAsia="仿宋_GB2312" w:cs="Times New Roman"/>
          <w:color w:val="auto"/>
          <w:sz w:val="32"/>
          <w:szCs w:val="32"/>
        </w:rPr>
        <w:t xml:space="preserve"> 2025 年 12 月 31 日，我单位开支财政拨款的公务用车保有量为 0 辆。</w:t>
      </w:r>
    </w:p>
    <w:p w14:paraId="364DC20F">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0.35</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rPr>
        <w:t>决算数小于预算数的主要原因是严格执行厉行节约相关规定，本年度没有发生公务接待活动。2025 年度本单位无接待来访团组、无来宾人次，未发生公务接待支出。</w:t>
      </w:r>
    </w:p>
    <w:p w14:paraId="025BF6D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2B79B17">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rPr>
        <w:t>本单位无政府性基金预算财政拨款收支。</w:t>
      </w:r>
    </w:p>
    <w:p w14:paraId="711F2BB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BF699D8">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16.29</w:t>
      </w:r>
      <w:r>
        <w:rPr>
          <w:rFonts w:ascii="Times New Roman" w:hAnsi="Times New Roman" w:eastAsia="仿宋_GB2312" w:cs="Times New Roman"/>
          <w:sz w:val="32"/>
          <w:szCs w:val="32"/>
        </w:rPr>
        <w:t>万元，比年初预算数（或者上年决算数）减少</w:t>
      </w:r>
      <w:r>
        <w:rPr>
          <w:rFonts w:hint="eastAsia" w:ascii="Times New Roman" w:hAnsi="Times New Roman" w:eastAsia="仿宋_GB2312" w:cs="Times New Roman"/>
          <w:sz w:val="32"/>
          <w:szCs w:val="32"/>
          <w:lang w:val="en-US" w:eastAsia="zh-CN"/>
        </w:rPr>
        <w:t>11.23</w:t>
      </w:r>
      <w:r>
        <w:rPr>
          <w:rFonts w:ascii="Times New Roman" w:hAnsi="Times New Roman" w:eastAsia="仿宋_GB2312" w:cs="Times New Roman"/>
          <w:sz w:val="32"/>
          <w:szCs w:val="32"/>
        </w:rPr>
        <w:t>万元，降低</w:t>
      </w:r>
      <w:r>
        <w:rPr>
          <w:rFonts w:hint="eastAsia" w:ascii="Times New Roman" w:hAnsi="Times New Roman" w:eastAsia="仿宋_GB2312" w:cs="Times New Roman"/>
          <w:color w:val="auto"/>
          <w:sz w:val="32"/>
          <w:szCs w:val="32"/>
        </w:rPr>
        <w:t>40.81%。主要原因是：落实党政机关过紧日子要求，压减非必要公用开支，从严控制办公耗材、维修等一般性公用经费支出。</w:t>
      </w:r>
    </w:p>
    <w:p w14:paraId="648D2B4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56AE0EE">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rPr>
        <w:t xml:space="preserve">开支培训费 0.02 万元，用于开展内部业务培训，人数 </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人，内容为企业改制业务相关业务学习；未举办节庆、晚会、论坛、赛事活动，无相关经费开支。</w:t>
      </w:r>
    </w:p>
    <w:p w14:paraId="5ED825E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C95A7F3">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0D371C6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B736EB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43DB3E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439EDCF">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color w:val="auto"/>
          <w:sz w:val="32"/>
          <w:szCs w:val="32"/>
        </w:rPr>
        <w:t>组织对 2025 年度本单位整体支出开展绩效自评，无项目，全部为基本支出，共涉及资金 191.62 万元。其中，一般公共预算项目 0 个 0 万元，占一般公共预算支出总额的 0%；政府性基金预算项目 0 个 0 万元，占政府性基金预算支出总额的 0%；国有资本经营预算项目 0 个 0 万元，占国有资本经营预算支出总额的 0%；社会保险基金预算项目 0 个 0 万元，占社会保险基金预算支出总额的 0%。二是部门评价开展情况，本单位不属于一级预算部门，无部门评价项目。三是事前绩效评估开展情况，无新增重大政策和重大项目开展事前绩效评估。</w:t>
      </w:r>
    </w:p>
    <w:p w14:paraId="01EED2F4">
      <w:pPr>
        <w:pStyle w:val="14"/>
        <w:overflowPunct w:val="0"/>
        <w:spacing w:line="60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b w:val="0"/>
          <w:bCs w:val="0"/>
          <w:kern w:val="0"/>
          <w:sz w:val="32"/>
          <w:szCs w:val="32"/>
          <w:lang w:val="en-US" w:eastAsia="zh-CN"/>
        </w:rPr>
        <w:t>2</w:t>
      </w:r>
      <w:r>
        <w:rPr>
          <w:rFonts w:hint="eastAsia" w:ascii="Times New Roman" w:hAnsi="Times New Roman" w:eastAsia="仿宋_GB2312" w:cs="Times New Roman"/>
          <w:color w:val="auto"/>
          <w:sz w:val="32"/>
          <w:szCs w:val="32"/>
        </w:rPr>
        <w:t>025 年度本部单位整体支出全年预算数 191.62 万元，执行数 191.62 万元，完成预算的 100%，绩效自评得分 98 分，评价等级为 “优”。绩效目标完成情况：一是足额保障单位人员工资福利、社保、抚恤等待遇按时发放到位；二是保障商业物资企业改制各项日常业务正常运转，完成改制服务、离退休人员管理、国有资产管理、信访维稳等工作任务。发现的主要问题及原因：一是部分基础绩效指标设置精细化程度有待提升；二是预算绩效过程管控的台账记录还不够完善。下一步改进措施：一是进一步优化完善绩效指标设置，提升指标针对性；二是健全绩效全过程管理台账，强化预算执行与绩效目标联动。二是部门评价结果，本单位无部门评价项目。三是事前绩效评估结果，本单位无重大项目事前绩效评估。</w:t>
      </w:r>
    </w:p>
    <w:p w14:paraId="599E3BBF">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根据 2025 年度绩效自评结果，在后续预算安排上，优先保障人员基本待遇和改制服务核心履职支出，持续压减非必要一般性开支；进一步完善资金内部管理制度，强化预算执行管控，把绩效评价结果运用到下年度预算编制当中，提升财政资金使用效益。</w:t>
      </w:r>
    </w:p>
    <w:p w14:paraId="2CE8CA5C">
      <w:pPr>
        <w:pStyle w:val="14"/>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77782801">
      <w:pPr>
        <w:pStyle w:val="14"/>
        <w:jc w:val="center"/>
        <w:rPr>
          <w:rFonts w:ascii="Times New Roman" w:hAnsi="Times New Roman" w:cs="Times New Roman"/>
          <w:sz w:val="72"/>
          <w:szCs w:val="72"/>
        </w:rPr>
      </w:pPr>
    </w:p>
    <w:p w14:paraId="25010EDA">
      <w:pPr>
        <w:pStyle w:val="14"/>
        <w:spacing w:line="360" w:lineRule="auto"/>
        <w:jc w:val="center"/>
        <w:rPr>
          <w:rFonts w:ascii="Times New Roman" w:hAnsi="Times New Roman" w:eastAsia="方正小标宋_GBK" w:cs="Times New Roman"/>
          <w:sz w:val="52"/>
          <w:szCs w:val="52"/>
        </w:rPr>
      </w:pPr>
    </w:p>
    <w:p w14:paraId="3B2F5DF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0AD589A">
      <w:pPr>
        <w:widowControl/>
        <w:spacing w:line="600" w:lineRule="exact"/>
        <w:ind w:firstLine="640" w:firstLineChars="200"/>
        <w:rPr>
          <w:rFonts w:eastAsia="仿宋_GB2312"/>
          <w:sz w:val="32"/>
          <w:szCs w:val="32"/>
          <w:highlight w:val="none"/>
        </w:rPr>
      </w:pPr>
      <w:r>
        <w:rPr>
          <w:rFonts w:hint="eastAsia" w:eastAsia="仿宋_GB2312"/>
          <w:sz w:val="32"/>
          <w:szCs w:val="32"/>
          <w:highlight w:val="none"/>
          <w:lang w:val="en-US" w:eastAsia="zh-CN"/>
        </w:rPr>
        <w:t>一、</w:t>
      </w:r>
      <w:r>
        <w:rPr>
          <w:rFonts w:eastAsia="仿宋_GB2312"/>
          <w:sz w:val="32"/>
          <w:szCs w:val="32"/>
          <w:highlight w:val="none"/>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06FE3779">
      <w:pPr>
        <w:widowControl/>
        <w:spacing w:line="600" w:lineRule="exact"/>
        <w:ind w:firstLine="660"/>
        <w:rPr>
          <w:rFonts w:eastAsia="仿宋_GB2312"/>
          <w:sz w:val="32"/>
          <w:szCs w:val="32"/>
          <w:highlight w:val="none"/>
        </w:rPr>
      </w:pPr>
      <w:r>
        <w:rPr>
          <w:rFonts w:hint="eastAsia" w:eastAsia="仿宋_GB2312"/>
          <w:sz w:val="32"/>
          <w:szCs w:val="32"/>
          <w:highlight w:val="none"/>
          <w:lang w:val="en-US" w:eastAsia="zh-CN"/>
        </w:rPr>
        <w:t>二、</w:t>
      </w:r>
      <w:r>
        <w:rPr>
          <w:rFonts w:eastAsia="仿宋_GB2312"/>
          <w:sz w:val="32"/>
          <w:szCs w:val="32"/>
          <w:highlight w:val="none"/>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16DA6A87">
      <w:pPr>
        <w:pStyle w:val="14"/>
        <w:jc w:val="center"/>
        <w:rPr>
          <w:rFonts w:ascii="Times New Roman" w:hAnsi="Times New Roman" w:cs="Times New Roman"/>
          <w:sz w:val="72"/>
          <w:szCs w:val="72"/>
        </w:rPr>
      </w:pPr>
    </w:p>
    <w:p w14:paraId="730B2C59">
      <w:pPr>
        <w:pStyle w:val="14"/>
        <w:jc w:val="center"/>
        <w:rPr>
          <w:rFonts w:ascii="Times New Roman" w:hAnsi="Times New Roman" w:cs="Times New Roman"/>
          <w:sz w:val="72"/>
          <w:szCs w:val="72"/>
        </w:rPr>
      </w:pPr>
    </w:p>
    <w:p w14:paraId="7F7A3F17">
      <w:pPr>
        <w:pStyle w:val="14"/>
        <w:jc w:val="center"/>
        <w:rPr>
          <w:rFonts w:ascii="Times New Roman" w:hAnsi="Times New Roman" w:cs="Times New Roman"/>
          <w:sz w:val="72"/>
          <w:szCs w:val="72"/>
        </w:rPr>
      </w:pPr>
    </w:p>
    <w:p w14:paraId="53FFAAE7">
      <w:pPr>
        <w:pStyle w:val="14"/>
        <w:jc w:val="center"/>
        <w:rPr>
          <w:rFonts w:ascii="Times New Roman" w:hAnsi="Times New Roman" w:cs="Times New Roman"/>
          <w:sz w:val="72"/>
          <w:szCs w:val="72"/>
        </w:rPr>
      </w:pPr>
    </w:p>
    <w:p w14:paraId="6B19B9C3">
      <w:pPr>
        <w:pStyle w:val="14"/>
        <w:jc w:val="center"/>
        <w:rPr>
          <w:rFonts w:ascii="Times New Roman" w:hAnsi="Times New Roman" w:cs="Times New Roman"/>
          <w:sz w:val="72"/>
          <w:szCs w:val="72"/>
        </w:rPr>
      </w:pPr>
    </w:p>
    <w:p w14:paraId="1AABCB2E">
      <w:pPr>
        <w:pStyle w:val="14"/>
        <w:jc w:val="center"/>
        <w:rPr>
          <w:rFonts w:ascii="Times New Roman" w:hAnsi="Times New Roman" w:cs="Times New Roman"/>
          <w:sz w:val="72"/>
          <w:szCs w:val="72"/>
        </w:rPr>
      </w:pPr>
    </w:p>
    <w:p w14:paraId="409FDDD3">
      <w:pPr>
        <w:pStyle w:val="14"/>
        <w:jc w:val="center"/>
        <w:rPr>
          <w:rFonts w:ascii="Times New Roman" w:hAnsi="Times New Roman" w:cs="Times New Roman"/>
          <w:sz w:val="72"/>
          <w:szCs w:val="72"/>
        </w:rPr>
      </w:pPr>
    </w:p>
    <w:p w14:paraId="11104689">
      <w:pPr>
        <w:pStyle w:val="14"/>
        <w:jc w:val="both"/>
        <w:rPr>
          <w:rFonts w:ascii="Times New Roman" w:hAnsi="Times New Roman" w:cs="Times New Roman"/>
          <w:sz w:val="72"/>
          <w:szCs w:val="72"/>
        </w:rPr>
      </w:pPr>
    </w:p>
    <w:p w14:paraId="69A454A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AF386D2">
      <w:pPr>
        <w:rPr>
          <w:rFonts w:ascii="Times New Roman" w:hAnsi="Times New Roman" w:cs="Times New Roman"/>
          <w:sz w:val="72"/>
          <w:szCs w:val="72"/>
        </w:rPr>
      </w:pPr>
    </w:p>
    <w:p w14:paraId="4F2C545F">
      <w:pPr>
        <w:pStyle w:val="14"/>
        <w:spacing w:line="600" w:lineRule="exact"/>
        <w:ind w:firstLine="640" w:firstLineChars="200"/>
        <w:rPr>
          <w:rFonts w:hint="eastAsia" w:ascii="仿宋_GB2312" w:hAnsi="仿宋_GB2312" w:eastAsia="仿宋_GB2312" w:cs="仿宋_GB2312"/>
          <w:b/>
          <w:bCs/>
          <w:color w:val="3F3F3F"/>
          <w:sz w:val="36"/>
          <w:szCs w:val="36"/>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w:t>
      </w:r>
    </w:p>
    <w:p w14:paraId="6EEC976B">
      <w:pPr>
        <w:widowControl w:val="0"/>
        <w:numPr>
          <w:ilvl w:val="0"/>
          <w:numId w:val="0"/>
        </w:numPr>
        <w:spacing w:line="560" w:lineRule="exact"/>
        <w:ind w:left="1350" w:leftChars="0" w:hanging="720" w:firstLineChars="0"/>
        <w:jc w:val="both"/>
        <w:rPr>
          <w:rFonts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一、单位概况</w:t>
      </w:r>
    </w:p>
    <w:p w14:paraId="629D10EB">
      <w:pPr>
        <w:widowControl w:val="0"/>
        <w:spacing w:line="560" w:lineRule="exact"/>
        <w:ind w:left="640" w:firstLine="0" w:firstLineChars="0"/>
        <w:jc w:val="both"/>
        <w:rPr>
          <w:rFonts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w:t>
      </w:r>
      <w:r>
        <w:rPr>
          <w:rFonts w:hint="eastAsia" w:ascii="仿宋_GB2312" w:hAnsi="Calibri" w:eastAsia="仿宋_GB2312" w:cs="Times New Roman"/>
          <w:b/>
          <w:bCs/>
          <w:kern w:val="2"/>
          <w:sz w:val="32"/>
          <w:szCs w:val="32"/>
          <w:lang w:val="en-US" w:eastAsia="zh-CN" w:bidi="ar-SA"/>
        </w:rPr>
        <w:t>部门（单位）职能职责、机构编制、人员构成等</w:t>
      </w:r>
    </w:p>
    <w:p w14:paraId="43B39A27">
      <w:pPr>
        <w:snapToGrid w:val="0"/>
        <w:spacing w:line="360" w:lineRule="auto"/>
        <w:ind w:firstLine="640" w:firstLineChars="200"/>
        <w:rPr>
          <w:rFonts w:hint="eastAsia" w:ascii="仿宋" w:hAnsi="仿宋" w:eastAsia="仿宋" w:cs="仿宋"/>
          <w:bCs/>
          <w:sz w:val="32"/>
          <w:szCs w:val="32"/>
        </w:rPr>
      </w:pPr>
      <w:r>
        <w:rPr>
          <w:rFonts w:hint="eastAsia" w:ascii="Times New Roman" w:hAnsi="Times New Roman" w:eastAsia="仿宋_GB2312" w:cs="Times New Roman"/>
          <w:bCs/>
          <w:kern w:val="0"/>
          <w:sz w:val="32"/>
          <w:szCs w:val="32"/>
        </w:rPr>
        <w:t>本</w:t>
      </w:r>
      <w:r>
        <w:rPr>
          <w:rFonts w:ascii="Times New Roman" w:hAnsi="Times New Roman" w:eastAsia="仿宋_GB2312" w:cs="Times New Roman"/>
          <w:bCs/>
          <w:kern w:val="0"/>
          <w:sz w:val="32"/>
          <w:szCs w:val="32"/>
        </w:rPr>
        <w:t>单位内设机构包括：</w:t>
      </w:r>
      <w:r>
        <w:rPr>
          <w:rFonts w:hint="eastAsia" w:ascii="仿宋" w:hAnsi="仿宋" w:eastAsia="仿宋" w:cs="仿宋"/>
          <w:bCs/>
          <w:sz w:val="32"/>
          <w:szCs w:val="32"/>
        </w:rPr>
        <w:t>本单位于2015年10月底由蓝山县商业事务办和蓝山县物资事务办合并而成，</w:t>
      </w:r>
      <w:r>
        <w:rPr>
          <w:rFonts w:hint="eastAsia" w:ascii="仿宋" w:hAnsi="仿宋" w:eastAsia="仿宋" w:cs="仿宋"/>
          <w:bCs/>
          <w:sz w:val="32"/>
          <w:szCs w:val="32"/>
          <w:lang w:eastAsia="zh-CN"/>
        </w:rPr>
        <w:t>（</w:t>
      </w:r>
      <w:r>
        <w:rPr>
          <w:rFonts w:hint="eastAsia" w:ascii="仿宋" w:hAnsi="仿宋" w:eastAsia="仿宋" w:cs="仿宋"/>
          <w:bCs/>
          <w:sz w:val="32"/>
          <w:szCs w:val="32"/>
        </w:rPr>
        <w:t>县科技商务粮食和经济信息化委员会所属</w:t>
      </w:r>
      <w:r>
        <w:rPr>
          <w:rFonts w:hint="eastAsia" w:ascii="仿宋" w:hAnsi="仿宋" w:eastAsia="仿宋" w:cs="仿宋"/>
          <w:bCs/>
          <w:sz w:val="32"/>
          <w:szCs w:val="32"/>
          <w:lang w:eastAsia="zh-CN"/>
        </w:rPr>
        <w:t>参照公务员法管理的副科级</w:t>
      </w:r>
      <w:r>
        <w:rPr>
          <w:rFonts w:hint="eastAsia" w:ascii="仿宋" w:hAnsi="仿宋" w:eastAsia="仿宋" w:cs="仿宋"/>
          <w:bCs/>
          <w:sz w:val="32"/>
          <w:szCs w:val="32"/>
        </w:rPr>
        <w:t>事业单位</w:t>
      </w:r>
      <w:r>
        <w:rPr>
          <w:rFonts w:hint="eastAsia" w:ascii="仿宋" w:hAnsi="仿宋" w:eastAsia="仿宋" w:cs="仿宋"/>
          <w:bCs/>
          <w:sz w:val="32"/>
          <w:szCs w:val="32"/>
          <w:lang w:eastAsia="zh-CN"/>
        </w:rPr>
        <w:t>）</w:t>
      </w:r>
      <w:r>
        <w:rPr>
          <w:rFonts w:hint="eastAsia" w:ascii="仿宋" w:hAnsi="仿宋" w:eastAsia="仿宋" w:cs="仿宋"/>
          <w:bCs/>
          <w:sz w:val="32"/>
          <w:szCs w:val="32"/>
        </w:rPr>
        <w:t>。内设综合办公室和财务室</w:t>
      </w:r>
      <w:r>
        <w:rPr>
          <w:rFonts w:hint="eastAsia" w:ascii="仿宋" w:hAnsi="仿宋" w:eastAsia="仿宋" w:cs="仿宋"/>
          <w:bCs/>
          <w:sz w:val="32"/>
          <w:szCs w:val="32"/>
          <w:lang w:eastAsia="zh-CN"/>
        </w:rPr>
        <w:t>等</w:t>
      </w:r>
      <w:r>
        <w:rPr>
          <w:rFonts w:hint="eastAsia" w:ascii="仿宋" w:hAnsi="仿宋" w:eastAsia="仿宋" w:cs="仿宋"/>
          <w:bCs/>
          <w:sz w:val="32"/>
          <w:szCs w:val="32"/>
        </w:rPr>
        <w:t>股室，主要承担企业改革改制相关事务和离退休人员的管理服务等工作。承办县委政府和上级主管部门交办的其他工作。</w:t>
      </w:r>
    </w:p>
    <w:p w14:paraId="75335E88">
      <w:pPr>
        <w:snapToGrid w:val="0"/>
        <w:spacing w:line="360" w:lineRule="auto"/>
        <w:ind w:firstLine="640" w:firstLineChars="200"/>
        <w:rPr>
          <w:rFonts w:hint="eastAsia" w:ascii="仿宋_GB2312" w:hAnsi="仿宋_GB2312" w:eastAsia="仿宋_GB2312" w:cs="仿宋_GB2312"/>
          <w:sz w:val="32"/>
          <w:szCs w:val="32"/>
        </w:rPr>
      </w:pPr>
      <w:r>
        <w:rPr>
          <w:rFonts w:hint="eastAsia" w:ascii="仿宋" w:hAnsi="仿宋" w:eastAsia="仿宋" w:cs="仿宋"/>
          <w:bCs/>
          <w:sz w:val="32"/>
          <w:szCs w:val="32"/>
        </w:rPr>
        <w:t>单位编制数16人，</w:t>
      </w:r>
      <w:r>
        <w:rPr>
          <w:rFonts w:hint="eastAsia" w:ascii="仿宋" w:hAnsi="仿宋" w:eastAsia="仿宋" w:cs="仿宋"/>
          <w:bCs/>
          <w:sz w:val="32"/>
          <w:szCs w:val="32"/>
          <w:lang w:val="en-US" w:eastAsia="zh-CN"/>
        </w:rPr>
        <w:t>2025年度</w:t>
      </w:r>
      <w:r>
        <w:rPr>
          <w:rFonts w:hint="eastAsia" w:ascii="仿宋" w:hAnsi="仿宋" w:eastAsia="仿宋" w:cs="仿宋"/>
          <w:bCs/>
          <w:sz w:val="32"/>
          <w:szCs w:val="32"/>
        </w:rPr>
        <w:t>单位实有在职人员1</w:t>
      </w:r>
      <w:r>
        <w:rPr>
          <w:rFonts w:hint="eastAsia" w:ascii="仿宋" w:hAnsi="仿宋" w:eastAsia="仿宋" w:cs="仿宋"/>
          <w:bCs/>
          <w:sz w:val="32"/>
          <w:szCs w:val="32"/>
          <w:lang w:val="en-US" w:eastAsia="zh-CN"/>
        </w:rPr>
        <w:t>1</w:t>
      </w:r>
      <w:r>
        <w:rPr>
          <w:rFonts w:hint="eastAsia" w:ascii="仿宋" w:hAnsi="仿宋" w:eastAsia="仿宋" w:cs="仿宋"/>
          <w:bCs/>
          <w:sz w:val="32"/>
          <w:szCs w:val="32"/>
        </w:rPr>
        <w:t>人，退休人员2</w:t>
      </w:r>
      <w:r>
        <w:rPr>
          <w:rFonts w:hint="eastAsia" w:ascii="仿宋" w:hAnsi="仿宋" w:eastAsia="仿宋" w:cs="仿宋"/>
          <w:bCs/>
          <w:sz w:val="32"/>
          <w:szCs w:val="32"/>
          <w:lang w:val="en-US" w:eastAsia="zh-CN"/>
        </w:rPr>
        <w:t>8</w:t>
      </w:r>
      <w:r>
        <w:rPr>
          <w:rFonts w:hint="eastAsia" w:ascii="仿宋" w:hAnsi="仿宋" w:eastAsia="仿宋" w:cs="仿宋"/>
          <w:bCs/>
          <w:sz w:val="32"/>
          <w:szCs w:val="32"/>
        </w:rPr>
        <w:t>人，遗属抚养人员3人，公车改革后无车辆。</w:t>
      </w:r>
    </w:p>
    <w:p w14:paraId="73A55E62">
      <w:pPr>
        <w:widowControl/>
        <w:spacing w:line="33" w:lineRule="atLeast"/>
        <w:ind w:firstLine="640" w:firstLineChars="200"/>
        <w:jc w:val="both"/>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（二）部门（单位）整体收支规模、使用方向和主要内容、涉及范围等</w:t>
      </w:r>
    </w:p>
    <w:p w14:paraId="22BDBEC0">
      <w:pPr>
        <w:spacing w:line="560" w:lineRule="exact"/>
        <w:rPr>
          <w:rFonts w:hint="eastAsia" w:ascii="仿宋_GB2312" w:hAnsi="仿宋_GB2312" w:eastAsia="仿宋"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年我单位</w:t>
      </w:r>
      <w:r>
        <w:rPr>
          <w:rFonts w:hint="eastAsia" w:ascii="仿宋_GB2312" w:hAnsi="仿宋_GB2312" w:eastAsia="仿宋_GB2312" w:cs="仿宋_GB2312"/>
          <w:sz w:val="32"/>
          <w:szCs w:val="32"/>
          <w:lang w:eastAsia="zh-CN"/>
        </w:rPr>
        <w:t>整体收入预算</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一般公共预算拨款</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sz w:val="32"/>
          <w:szCs w:val="32"/>
          <w:lang w:val="en-US" w:eastAsia="zh-CN"/>
        </w:rPr>
        <w:t>万元，专项收入拨款0万元，支出预算合计</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sz w:val="32"/>
          <w:szCs w:val="32"/>
          <w:lang w:val="en-US" w:eastAsia="zh-CN"/>
        </w:rPr>
        <w:t>万元，包括</w:t>
      </w:r>
      <w:r>
        <w:rPr>
          <w:rFonts w:hint="eastAsia" w:ascii="仿宋_GB2312" w:hAnsi="仿宋_GB2312" w:eastAsia="仿宋_GB2312" w:cs="仿宋_GB2312"/>
          <w:sz w:val="32"/>
          <w:szCs w:val="32"/>
        </w:rPr>
        <w:t>基本支出</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，全年实际支出</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sz w:val="32"/>
          <w:szCs w:val="32"/>
        </w:rPr>
        <w:t>元，主要用于工资福利支出、商品和服务支出和对个人和家庭的补助支出。</w:t>
      </w:r>
      <w:r>
        <w:rPr>
          <w:rFonts w:hint="eastAsia" w:ascii="仿宋_GB2312" w:hAnsi="仿宋_GB2312" w:eastAsia="仿宋_GB2312" w:cs="仿宋_GB2312"/>
          <w:sz w:val="30"/>
          <w:szCs w:val="30"/>
        </w:rPr>
        <w:t>“三公经费”年初预算为0.35万元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主要是公务接待费</w:t>
      </w:r>
      <w:r>
        <w:rPr>
          <w:rFonts w:hint="eastAsia" w:ascii="仿宋_GB2312" w:hAnsi="仿宋_GB2312" w:eastAsia="仿宋_GB2312" w:cs="仿宋_GB2312"/>
          <w:sz w:val="30"/>
          <w:szCs w:val="30"/>
          <w:lang w:eastAsia="zh-CN"/>
        </w:rPr>
        <w:t>，</w:t>
      </w:r>
      <w:r>
        <w:rPr>
          <w:rFonts w:hint="eastAsia" w:ascii="仿宋" w:hAnsi="仿宋" w:eastAsia="仿宋" w:cs="仿宋"/>
          <w:bCs/>
          <w:kern w:val="0"/>
          <w:sz w:val="32"/>
          <w:szCs w:val="32"/>
        </w:rPr>
        <w:t>“三公经费”</w:t>
      </w:r>
      <w:r>
        <w:rPr>
          <w:rFonts w:hint="eastAsia" w:ascii="仿宋" w:hAnsi="仿宋" w:eastAsia="仿宋" w:cs="仿宋"/>
          <w:bCs/>
          <w:kern w:val="0"/>
          <w:sz w:val="32"/>
          <w:szCs w:val="32"/>
          <w:lang w:eastAsia="zh-CN"/>
        </w:rPr>
        <w:t>全年</w:t>
      </w:r>
      <w:r>
        <w:rPr>
          <w:rFonts w:hint="eastAsia" w:ascii="仿宋" w:hAnsi="仿宋" w:eastAsia="仿宋" w:cs="仿宋"/>
          <w:bCs/>
          <w:kern w:val="0"/>
          <w:sz w:val="32"/>
          <w:szCs w:val="32"/>
        </w:rPr>
        <w:t>实际支出0万元</w:t>
      </w:r>
      <w:r>
        <w:rPr>
          <w:rFonts w:hint="eastAsia" w:ascii="仿宋" w:hAnsi="仿宋" w:eastAsia="仿宋" w:cs="仿宋"/>
          <w:bCs/>
          <w:kern w:val="0"/>
          <w:sz w:val="32"/>
          <w:szCs w:val="32"/>
          <w:lang w:eastAsia="zh-CN"/>
        </w:rPr>
        <w:t>。</w:t>
      </w:r>
    </w:p>
    <w:p w14:paraId="3A96E1AF">
      <w:pPr>
        <w:widowControl/>
        <w:spacing w:line="33" w:lineRule="atLeast"/>
        <w:ind w:firstLine="640" w:firstLineChars="200"/>
        <w:jc w:val="both"/>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二、一般公共预算支出情况（部门整体支出管理及使用情况）</w:t>
      </w:r>
    </w:p>
    <w:p w14:paraId="41ED3E81">
      <w:pPr>
        <w:widowControl/>
        <w:spacing w:line="33" w:lineRule="atLeast"/>
        <w:ind w:firstLine="600" w:firstLineChars="200"/>
        <w:jc w:val="both"/>
        <w:rPr>
          <w:rFonts w:hint="eastAsia" w:ascii="仿宋_GB2312" w:hAnsi="仿宋_GB2312" w:eastAsia="仿宋_GB2312" w:cs="仿宋_GB2312"/>
          <w:b/>
          <w:bCs/>
          <w:kern w:val="0"/>
          <w:sz w:val="30"/>
          <w:szCs w:val="30"/>
          <w:lang w:val="en-US" w:eastAsia="zh-CN" w:bidi="ar-SA"/>
        </w:rPr>
      </w:pPr>
      <w:r>
        <w:rPr>
          <w:rFonts w:hint="eastAsia" w:ascii="仿宋_GB2312" w:hAnsi="仿宋_GB2312" w:eastAsia="仿宋_GB2312" w:cs="仿宋_GB2312"/>
          <w:b/>
          <w:bCs/>
          <w:kern w:val="0"/>
          <w:sz w:val="30"/>
          <w:szCs w:val="30"/>
          <w:lang w:val="en-US" w:eastAsia="zh-CN" w:bidi="ar-SA"/>
        </w:rPr>
        <w:t>（一）基本支出管理情况</w:t>
      </w:r>
    </w:p>
    <w:p w14:paraId="5D77C8C2">
      <w:pPr>
        <w:widowControl/>
        <w:spacing w:line="33" w:lineRule="atLeast"/>
        <w:ind w:firstLine="600" w:firstLineChars="200"/>
        <w:jc w:val="both"/>
        <w:rPr>
          <w:rFonts w:hint="eastAsia" w:ascii="仿宋_GB2312" w:hAnsi="仿宋_GB2312" w:eastAsia="仿宋_GB2312" w:cs="仿宋_GB2312"/>
          <w:kern w:val="0"/>
          <w:sz w:val="30"/>
          <w:szCs w:val="30"/>
          <w:lang w:val="en-US" w:eastAsia="zh-CN" w:bidi="ar-SA"/>
        </w:rPr>
      </w:pPr>
      <w:r>
        <w:rPr>
          <w:rFonts w:hint="eastAsia" w:ascii="仿宋_GB2312" w:hAnsi="仿宋_GB2312" w:eastAsia="仿宋_GB2312" w:cs="仿宋_GB2312"/>
          <w:kern w:val="0"/>
          <w:sz w:val="30"/>
          <w:szCs w:val="30"/>
          <w:lang w:val="en-US" w:eastAsia="zh-CN" w:bidi="ar-SA"/>
        </w:rPr>
        <w:t>1、资金支出总体情况：年初预算166.41万元，实际到位资金</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kern w:val="0"/>
          <w:sz w:val="30"/>
          <w:szCs w:val="30"/>
          <w:lang w:val="en-US" w:eastAsia="zh-CN" w:bidi="ar-SA"/>
        </w:rPr>
        <w:t>万元，全年实际整体支出</w:t>
      </w:r>
      <w:r>
        <w:rPr>
          <w:rFonts w:hint="eastAsia" w:ascii="Times New Roman" w:hAnsi="Times New Roman" w:eastAsia="仿宋_GB2312" w:cs="Times New Roman"/>
          <w:color w:val="auto"/>
          <w:sz w:val="32"/>
          <w:szCs w:val="32"/>
        </w:rPr>
        <w:t>191.62</w:t>
      </w:r>
      <w:r>
        <w:rPr>
          <w:rFonts w:hint="eastAsia" w:ascii="仿宋_GB2312" w:hAnsi="仿宋_GB2312" w:eastAsia="仿宋_GB2312" w:cs="仿宋_GB2312"/>
          <w:kern w:val="0"/>
          <w:sz w:val="30"/>
          <w:szCs w:val="30"/>
          <w:lang w:val="en-US" w:eastAsia="zh-CN" w:bidi="ar-SA"/>
        </w:rPr>
        <w:t>万元，预算执行率100%，主要是人员经费的增加。（2025年工资调标、补发工资、人员调入）</w:t>
      </w:r>
    </w:p>
    <w:p w14:paraId="161221B4">
      <w:pPr>
        <w:widowControl/>
        <w:spacing w:line="33" w:lineRule="atLeast"/>
        <w:ind w:firstLine="600" w:firstLineChars="200"/>
        <w:jc w:val="both"/>
        <w:rPr>
          <w:rFonts w:hint="eastAsia" w:ascii="仿宋_GB2312" w:hAnsi="仿宋_GB2312" w:eastAsia="仿宋_GB2312" w:cs="仿宋_GB2312"/>
          <w:kern w:val="0"/>
          <w:sz w:val="30"/>
          <w:szCs w:val="30"/>
          <w:lang w:val="en-US" w:eastAsia="zh-CN" w:bidi="ar-SA"/>
        </w:rPr>
      </w:pPr>
      <w:r>
        <w:rPr>
          <w:rFonts w:hint="eastAsia" w:ascii="仿宋_GB2312" w:hAnsi="仿宋_GB2312" w:eastAsia="仿宋_GB2312" w:cs="仿宋_GB2312"/>
          <w:kern w:val="0"/>
          <w:sz w:val="30"/>
          <w:szCs w:val="30"/>
          <w:lang w:val="en-US" w:eastAsia="zh-CN" w:bidi="ar-SA"/>
        </w:rPr>
        <w:t>2、基本支出预算执行情况：全年基本支出</w:t>
      </w:r>
      <w:r>
        <w:rPr>
          <w:rFonts w:hint="eastAsia" w:ascii="仿宋_GB2312" w:hAnsi="仿宋_GB2312" w:eastAsia="仿宋_GB2312" w:cs="仿宋_GB2312"/>
          <w:sz w:val="32"/>
          <w:szCs w:val="32"/>
          <w:lang w:val="en-US" w:eastAsia="zh-CN"/>
        </w:rPr>
        <w:t>191.62</w:t>
      </w:r>
      <w:r>
        <w:rPr>
          <w:rFonts w:hint="eastAsia" w:ascii="仿宋_GB2312" w:hAnsi="仿宋_GB2312" w:eastAsia="仿宋_GB2312" w:cs="仿宋_GB2312"/>
          <w:kern w:val="0"/>
          <w:sz w:val="30"/>
          <w:szCs w:val="30"/>
          <w:lang w:val="en-US" w:eastAsia="zh-CN" w:bidi="ar-SA"/>
        </w:rPr>
        <w:t>万元，主要用于人员经费（工资、社保、公积金等）、公用经费（办公费、水电费、工会经费、其他交通费等）。</w:t>
      </w:r>
    </w:p>
    <w:p w14:paraId="53333543">
      <w:pPr>
        <w:widowControl/>
        <w:spacing w:line="33" w:lineRule="atLeast"/>
        <w:ind w:firstLine="600" w:firstLineChars="200"/>
        <w:jc w:val="both"/>
        <w:rPr>
          <w:rFonts w:hint="eastAsia" w:ascii="仿宋_GB2312" w:hAnsi="仿宋_GB2312" w:eastAsia="仿宋_GB2312" w:cs="仿宋_GB2312"/>
          <w:kern w:val="0"/>
          <w:sz w:val="30"/>
          <w:szCs w:val="30"/>
          <w:lang w:val="en-US" w:eastAsia="zh-CN" w:bidi="ar-SA"/>
        </w:rPr>
      </w:pPr>
      <w:r>
        <w:rPr>
          <w:rFonts w:hint="eastAsia" w:ascii="仿宋_GB2312" w:hAnsi="仿宋_GB2312" w:eastAsia="仿宋_GB2312" w:cs="仿宋_GB2312"/>
          <w:kern w:val="0"/>
          <w:sz w:val="30"/>
          <w:szCs w:val="30"/>
          <w:lang w:val="en-US" w:eastAsia="zh-CN" w:bidi="ar-SA"/>
        </w:rPr>
        <w:t>为保障人员稳定和机构日常运转,我单位严格执行国库集中支付，政府采购、经费报销审批流程完整，会计核算规范，专款专用，无截留、挤占、挪用、违规开支等问题，资金使用合法合规。</w:t>
      </w:r>
    </w:p>
    <w:p w14:paraId="7D81AF37">
      <w:pPr>
        <w:widowControl/>
        <w:spacing w:line="33" w:lineRule="atLeast"/>
        <w:jc w:val="both"/>
        <w:rPr>
          <w:rFonts w:hint="eastAsia" w:ascii="仿宋_GB2312" w:hAnsi="仿宋_GB2312" w:eastAsia="仿宋_GB2312" w:cs="仿宋_GB2312"/>
          <w:b/>
          <w:bCs/>
          <w:kern w:val="0"/>
          <w:sz w:val="30"/>
          <w:szCs w:val="30"/>
          <w:lang w:val="en-US" w:eastAsia="zh-CN" w:bidi="ar-SA"/>
        </w:rPr>
      </w:pPr>
      <w:r>
        <w:rPr>
          <w:rFonts w:hint="eastAsia" w:ascii="仿宋_GB2312" w:hAnsi="仿宋_GB2312" w:eastAsia="仿宋_GB2312" w:cs="仿宋_GB2312"/>
          <w:b/>
          <w:bCs/>
          <w:kern w:val="2"/>
          <w:sz w:val="30"/>
          <w:szCs w:val="30"/>
          <w:lang w:val="en-US" w:eastAsia="zh-CN" w:bidi="ar-SA"/>
        </w:rPr>
        <w:t>（二）</w:t>
      </w:r>
      <w:r>
        <w:rPr>
          <w:rFonts w:hint="eastAsia" w:ascii="仿宋_GB2312" w:hAnsi="仿宋_GB2312" w:eastAsia="仿宋_GB2312" w:cs="仿宋_GB2312"/>
          <w:b/>
          <w:bCs/>
          <w:kern w:val="0"/>
          <w:sz w:val="30"/>
          <w:szCs w:val="30"/>
          <w:lang w:val="en-US" w:eastAsia="zh-CN" w:bidi="ar-SA"/>
        </w:rPr>
        <w:t>项目支出情况</w:t>
      </w:r>
    </w:p>
    <w:p w14:paraId="7F9B643B">
      <w:pPr>
        <w:numPr>
          <w:ilvl w:val="0"/>
          <w:numId w:val="0"/>
        </w:numPr>
        <w:snapToGrid w:val="0"/>
        <w:spacing w:line="360" w:lineRule="auto"/>
        <w:ind w:firstLine="900" w:firstLineChars="3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本年度我单位无项目，也无相关的支出。</w:t>
      </w:r>
    </w:p>
    <w:p w14:paraId="6DD524A0">
      <w:pPr>
        <w:numPr>
          <w:ilvl w:val="0"/>
          <w:numId w:val="0"/>
        </w:numPr>
        <w:snapToGrid w:val="0"/>
        <w:spacing w:line="360" w:lineRule="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kern w:val="2"/>
          <w:sz w:val="30"/>
          <w:szCs w:val="30"/>
          <w:lang w:val="en-US" w:eastAsia="zh-CN" w:bidi="ar-SA"/>
        </w:rPr>
        <w:t>三、</w:t>
      </w:r>
      <w:r>
        <w:rPr>
          <w:rFonts w:hint="eastAsia" w:ascii="仿宋_GB2312" w:hAnsi="仿宋_GB2312" w:eastAsia="仿宋_GB2312" w:cs="仿宋_GB2312"/>
          <w:b/>
          <w:bCs/>
          <w:sz w:val="30"/>
          <w:szCs w:val="30"/>
          <w:lang w:eastAsia="zh-CN"/>
        </w:rPr>
        <w:t>政府性基金预算支出情况。我单位无政府性基金预算支出。</w:t>
      </w:r>
    </w:p>
    <w:p w14:paraId="4EE71F98">
      <w:pPr>
        <w:numPr>
          <w:ilvl w:val="0"/>
          <w:numId w:val="0"/>
        </w:numPr>
        <w:snapToGrid w:val="0"/>
        <w:spacing w:line="360" w:lineRule="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四、国有资本经营预算支出情况。我单位无国有资本经营预算支出。</w:t>
      </w:r>
    </w:p>
    <w:p w14:paraId="761ED941">
      <w:pPr>
        <w:widowControl/>
        <w:spacing w:line="33" w:lineRule="atLeast"/>
        <w:jc w:val="both"/>
        <w:rPr>
          <w:rFonts w:hint="eastAsia" w:ascii="仿宋_GB2312" w:hAnsi="仿宋_GB2312" w:eastAsia="仿宋_GB2312" w:cs="仿宋_GB2312"/>
          <w:bCs/>
          <w:kern w:val="0"/>
          <w:sz w:val="30"/>
          <w:szCs w:val="30"/>
          <w:lang w:val="en-US" w:eastAsia="zh-CN" w:bidi="ar-SA"/>
        </w:rPr>
      </w:pPr>
      <w:r>
        <w:rPr>
          <w:rFonts w:hint="eastAsia" w:ascii="仿宋_GB2312" w:hAnsi="仿宋_GB2312" w:eastAsia="仿宋_GB2312" w:cs="仿宋_GB2312"/>
          <w:b/>
          <w:bCs/>
          <w:kern w:val="0"/>
          <w:sz w:val="30"/>
          <w:szCs w:val="30"/>
          <w:lang w:val="en-US" w:eastAsia="zh-CN" w:bidi="ar-SA"/>
        </w:rPr>
        <w:t>五、社会保险基金预算支出情况。我单社会保险基金预算支出。</w:t>
      </w:r>
    </w:p>
    <w:p w14:paraId="3BE4E110">
      <w:pPr>
        <w:widowControl/>
        <w:spacing w:line="33" w:lineRule="atLeast"/>
        <w:jc w:val="both"/>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六、部门（单位）整体支出绩效情况</w:t>
      </w:r>
    </w:p>
    <w:p w14:paraId="2668E5F5">
      <w:pPr>
        <w:keepNext/>
        <w:keepLines/>
        <w:widowControl w:val="0"/>
        <w:spacing w:before="260" w:after="260" w:line="413" w:lineRule="auto"/>
        <w:ind w:firstLine="640" w:firstLineChars="200"/>
        <w:jc w:val="both"/>
        <w:outlineLvl w:val="2"/>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SA"/>
        </w:rPr>
        <w:t>从整体情况来看，我部门严格按照年初预算进行部门整体支出。在支出过程中，能</w:t>
      </w:r>
      <w:r>
        <w:rPr>
          <w:rFonts w:hint="eastAsia" w:ascii="仿宋" w:hAnsi="仿宋" w:eastAsia="仿宋" w:cs="仿宋"/>
          <w:b w:val="0"/>
          <w:bCs/>
          <w:color w:val="333333"/>
          <w:kern w:val="2"/>
          <w:sz w:val="32"/>
          <w:szCs w:val="32"/>
          <w:shd w:val="clear" w:color="auto" w:fill="FFFFFF"/>
          <w:lang w:val="en-US" w:eastAsia="zh-CN" w:bidi="ar-SA"/>
        </w:rPr>
        <w:t>严格控制“三公经费”支出，认真执行关于公务消费的有关规定及制度，对办公、印刷、公务接待费、等支出进行严格控制和压缩。为位退休人员提供社会保险政策咨询及查询服务，协助10位退休人员进行领取养老金资格认证，帮助遗属申请丧葬费抚恤金， 发放遗嘱补助、退休人员生活补助、节日慰问金、独生子女父母奖励等共计23.62万元，社</w:t>
      </w:r>
      <w:r>
        <w:rPr>
          <w:rFonts w:hint="eastAsia" w:ascii="仿宋" w:hAnsi="仿宋" w:eastAsia="仿宋" w:cs="仿宋"/>
          <w:b w:val="0"/>
          <w:bCs/>
          <w:kern w:val="2"/>
          <w:sz w:val="32"/>
          <w:szCs w:val="32"/>
          <w:lang w:val="en-US" w:eastAsia="zh-CN" w:bidi="ar-SA"/>
        </w:rPr>
        <w:t>会和公众满意度较高。根据对我单位2025年部门整体支出项目绩效评价指标体系和绩效情况的自查，2025年我单位部门整体绩效自评分98分，为“优”等级。</w:t>
      </w:r>
    </w:p>
    <w:p w14:paraId="3901B2A1">
      <w:pPr>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bidi="ar-SA"/>
        </w:rPr>
        <w:t>七、</w:t>
      </w:r>
      <w:r>
        <w:rPr>
          <w:rFonts w:hint="eastAsia" w:ascii="仿宋_GB2312" w:hAnsi="仿宋_GB2312" w:eastAsia="仿宋_GB2312" w:cs="仿宋_GB2312"/>
          <w:b/>
          <w:bCs/>
          <w:sz w:val="32"/>
          <w:szCs w:val="32"/>
        </w:rPr>
        <w:t>存在的主要问题及存在的问题及原因分析</w:t>
      </w:r>
    </w:p>
    <w:p w14:paraId="6FF2362E">
      <w:pPr>
        <w:spacing w:line="560" w:lineRule="exact"/>
        <w:rPr>
          <w:rFonts w:ascii="Times New Roman" w:hAnsi="Times New Roman" w:eastAsia="宋体" w:cs="Times New Roman"/>
          <w:color w:val="333333"/>
          <w:sz w:val="21"/>
          <w:szCs w:val="21"/>
        </w:rPr>
      </w:pPr>
      <w:r>
        <w:rPr>
          <w:rFonts w:hint="eastAsia" w:ascii="仿宋" w:hAnsi="仿宋" w:eastAsia="仿宋" w:cs="仿宋"/>
          <w:b/>
          <w:bCs/>
          <w:color w:val="333333"/>
          <w:sz w:val="32"/>
          <w:szCs w:val="32"/>
          <w:shd w:val="clear" w:color="auto" w:fill="FFFFFF"/>
        </w:rPr>
        <w:t> </w:t>
      </w:r>
      <w:r>
        <w:rPr>
          <w:rFonts w:hint="eastAsia" w:ascii="仿宋" w:hAnsi="仿宋" w:eastAsia="仿宋" w:cs="仿宋"/>
          <w:b/>
          <w:bCs/>
          <w:color w:val="333333"/>
          <w:sz w:val="32"/>
          <w:szCs w:val="32"/>
          <w:shd w:val="clear" w:color="auto" w:fill="FFFFFF"/>
          <w:lang w:val="en-US" w:eastAsia="zh-CN"/>
        </w:rPr>
        <w:t xml:space="preserve">   </w:t>
      </w:r>
      <w:r>
        <w:rPr>
          <w:rFonts w:hint="eastAsia" w:ascii="仿宋" w:hAnsi="仿宋" w:eastAsia="仿宋" w:cs="仿宋"/>
          <w:b/>
          <w:bCs/>
          <w:color w:val="333333"/>
          <w:sz w:val="32"/>
          <w:szCs w:val="32"/>
          <w:shd w:val="clear" w:color="auto" w:fill="FFFFFF"/>
        </w:rPr>
        <w:t>思想认识有待进一步增强。</w:t>
      </w:r>
      <w:r>
        <w:rPr>
          <w:rFonts w:hint="eastAsia" w:ascii="仿宋" w:hAnsi="仿宋" w:eastAsia="仿宋" w:cs="仿宋"/>
          <w:color w:val="333333"/>
          <w:sz w:val="32"/>
          <w:szCs w:val="32"/>
          <w:shd w:val="clear" w:color="auto" w:fill="FFFFFF"/>
        </w:rPr>
        <w:t>对预算绩效管理有关工作的认识还有待从上至下进一步强化。当前，仍一定程度存在认为预算绩效管理工作只是财务部门的工作，</w:t>
      </w:r>
      <w:r>
        <w:rPr>
          <w:rFonts w:hint="eastAsia" w:ascii="仿宋" w:hAnsi="仿宋" w:eastAsia="仿宋" w:cs="仿宋"/>
          <w:sz w:val="32"/>
          <w:szCs w:val="32"/>
        </w:rPr>
        <w:t>预算单位负责人对预算编制执行的重视程序有待提高，</w:t>
      </w:r>
      <w:r>
        <w:rPr>
          <w:rFonts w:hint="eastAsia" w:ascii="仿宋_GB2312" w:hAnsi="仿宋_GB2312" w:eastAsia="仿宋_GB2312" w:cs="仿宋_GB2312"/>
          <w:sz w:val="32"/>
          <w:szCs w:val="32"/>
        </w:rPr>
        <w:t>建立健全预算执行相关制度并得以有效实施。预算经费紧张，公用经费预算支出及控制有一定难度，资产管理水平有待提高。</w:t>
      </w:r>
    </w:p>
    <w:p w14:paraId="2307EC50">
      <w:pPr>
        <w:widowControl/>
        <w:spacing w:line="360" w:lineRule="auto"/>
        <w:ind w:right="879" w:firstLine="640" w:firstLineChars="200"/>
        <w:jc w:val="left"/>
        <w:rPr>
          <w:rFonts w:hint="eastAsia" w:ascii="仿宋" w:hAnsi="仿宋" w:eastAsia="仿宋" w:cs="仿宋"/>
          <w:color w:val="333333"/>
          <w:kern w:val="0"/>
          <w:sz w:val="32"/>
          <w:szCs w:val="32"/>
          <w:lang w:val="en-US" w:eastAsia="zh-CN" w:bidi="ar-SA"/>
        </w:rPr>
      </w:pPr>
      <w:r>
        <w:rPr>
          <w:rFonts w:hint="eastAsia" w:ascii="仿宋" w:hAnsi="仿宋" w:eastAsia="仿宋" w:cs="仿宋"/>
          <w:b/>
          <w:bCs/>
          <w:color w:val="333333"/>
          <w:kern w:val="0"/>
          <w:sz w:val="32"/>
          <w:szCs w:val="32"/>
          <w:shd w:val="clear" w:color="auto" w:fill="FFFFFF"/>
          <w:lang w:val="en-US" w:eastAsia="zh-CN" w:bidi="ar-SA"/>
        </w:rPr>
        <w:t>业务水平有待进一步提升。</w:t>
      </w:r>
      <w:r>
        <w:rPr>
          <w:rFonts w:hint="eastAsia" w:ascii="仿宋" w:hAnsi="仿宋" w:eastAsia="仿宋" w:cs="仿宋"/>
          <w:color w:val="333333"/>
          <w:kern w:val="0"/>
          <w:sz w:val="32"/>
          <w:szCs w:val="32"/>
          <w:shd w:val="clear" w:color="auto" w:fill="FFFFFF"/>
          <w:lang w:val="en-US" w:eastAsia="zh-CN" w:bidi="ar-SA"/>
        </w:rPr>
        <w:t>对预算编制、预算执行、预算绩效管理等业务知识的掌握不系统不牢固，有些工作是边学边做，对上级有关要求的理解和把握也存在一定程度偏差，导致预算绩效管理工作成效差强人意。</w:t>
      </w:r>
    </w:p>
    <w:p w14:paraId="64431EE2">
      <w:pPr>
        <w:numPr>
          <w:ilvl w:val="0"/>
          <w:numId w:val="0"/>
        </w:numPr>
        <w:spacing w:line="560" w:lineRule="exact"/>
        <w:rPr>
          <w:rFonts w:hint="eastAsia" w:ascii="仿宋" w:hAnsi="仿宋" w:eastAsia="仿宋" w:cs="仿宋"/>
          <w:sz w:val="32"/>
          <w:szCs w:val="32"/>
        </w:rPr>
      </w:pPr>
      <w:r>
        <w:rPr>
          <w:rFonts w:hint="eastAsia" w:ascii="仿宋" w:hAnsi="仿宋" w:eastAsia="仿宋" w:cs="仿宋"/>
          <w:b/>
          <w:bCs/>
          <w:kern w:val="2"/>
          <w:sz w:val="32"/>
          <w:szCs w:val="32"/>
          <w:lang w:val="en-US" w:eastAsia="zh-CN" w:bidi="ar-SA"/>
        </w:rPr>
        <w:t>八</w:t>
      </w:r>
      <w:r>
        <w:rPr>
          <w:rFonts w:hint="eastAsia" w:ascii="仿宋" w:hAnsi="仿宋" w:eastAsia="仿宋" w:cs="仿宋"/>
          <w:kern w:val="2"/>
          <w:sz w:val="32"/>
          <w:szCs w:val="32"/>
          <w:lang w:val="en-US" w:eastAsia="zh-CN" w:bidi="ar-SA"/>
        </w:rPr>
        <w:t>、</w:t>
      </w:r>
      <w:r>
        <w:rPr>
          <w:rFonts w:hint="eastAsia" w:ascii="仿宋" w:hAnsi="仿宋" w:eastAsia="仿宋" w:cs="仿宋"/>
          <w:b/>
          <w:bCs/>
          <w:sz w:val="32"/>
          <w:szCs w:val="32"/>
          <w:lang w:eastAsia="zh-CN"/>
        </w:rPr>
        <w:t>下一步</w:t>
      </w:r>
      <w:r>
        <w:rPr>
          <w:rFonts w:hint="eastAsia" w:ascii="仿宋" w:hAnsi="仿宋" w:eastAsia="仿宋" w:cs="仿宋"/>
          <w:b/>
          <w:bCs/>
          <w:sz w:val="32"/>
          <w:szCs w:val="32"/>
        </w:rPr>
        <w:t>改进措施</w:t>
      </w:r>
      <w:r>
        <w:rPr>
          <w:rFonts w:hint="eastAsia" w:ascii="仿宋" w:hAnsi="仿宋" w:eastAsia="仿宋" w:cs="仿宋"/>
          <w:sz w:val="32"/>
          <w:szCs w:val="32"/>
        </w:rPr>
        <w:t>：</w:t>
      </w:r>
    </w:p>
    <w:p w14:paraId="2531ED1A">
      <w:pPr>
        <w:numPr>
          <w:ilvl w:val="0"/>
          <w:numId w:val="0"/>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健全预算制度并严格执行。提高预算编制的科学性，更科学更严谨更合理编制预算，严格执行年初预算，贯彻先有预算，后有支出的基本原则，完善各项财务管理制度，进一步加强资产管理。</w:t>
      </w:r>
    </w:p>
    <w:p w14:paraId="14E3A18E">
      <w:pPr>
        <w:spacing w:line="560" w:lineRule="exact"/>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九、其他需要说明的情况（无）</w:t>
      </w:r>
    </w:p>
    <w:p w14:paraId="5A43887E">
      <w:pPr>
        <w:spacing w:line="560" w:lineRule="exact"/>
        <w:ind w:firstLine="480"/>
        <w:rPr>
          <w:rFonts w:hint="eastAsia" w:ascii="仿宋" w:hAnsi="仿宋" w:eastAsia="仿宋" w:cs="仿宋"/>
          <w:sz w:val="32"/>
          <w:szCs w:val="32"/>
          <w:lang w:eastAsia="zh-CN"/>
        </w:rPr>
      </w:pPr>
    </w:p>
    <w:p w14:paraId="324155E7">
      <w:pPr>
        <w:widowControl/>
        <w:spacing w:line="33" w:lineRule="atLeast"/>
        <w:jc w:val="both"/>
        <w:rPr>
          <w:rFonts w:hint="eastAsia" w:ascii="仿宋_GB2312" w:hAnsi="仿宋_GB2312" w:eastAsia="仿宋_GB2312" w:cs="仿宋_GB2312"/>
          <w:b/>
          <w:bCs/>
          <w:kern w:val="0"/>
          <w:sz w:val="32"/>
          <w:szCs w:val="32"/>
          <w:lang w:val="en-US" w:eastAsia="zh-CN" w:bidi="ar-SA"/>
        </w:rPr>
      </w:pPr>
    </w:p>
    <w:p w14:paraId="651D5A4E">
      <w:pPr>
        <w:widowControl/>
        <w:spacing w:line="33" w:lineRule="atLeast"/>
        <w:jc w:val="both"/>
        <w:rPr>
          <w:rFonts w:hint="eastAsia" w:ascii="仿宋_GB2312" w:hAnsi="仿宋_GB2312" w:eastAsia="仿宋_GB2312" w:cs="仿宋_GB2312"/>
          <w:b/>
          <w:bCs/>
          <w:kern w:val="0"/>
          <w:sz w:val="32"/>
          <w:szCs w:val="32"/>
          <w:lang w:val="en-US" w:eastAsia="zh-CN" w:bidi="ar-SA"/>
        </w:rPr>
      </w:pPr>
    </w:p>
    <w:p w14:paraId="3A112359">
      <w:pPr>
        <w:widowControl/>
        <w:spacing w:line="33" w:lineRule="atLeast"/>
        <w:jc w:val="right"/>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蓝山县商业与物资企业改制服务办公室</w:t>
      </w:r>
    </w:p>
    <w:p w14:paraId="00FE2D0E">
      <w:pPr>
        <w:widowControl/>
        <w:spacing w:line="33" w:lineRule="atLeast"/>
        <w:jc w:val="center"/>
        <w:rPr>
          <w:rFonts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 xml:space="preserve">                  2026年4月27日</w:t>
      </w:r>
    </w:p>
    <w:p w14:paraId="07735831">
      <w:pPr>
        <w:pStyle w:val="14"/>
        <w:jc w:val="center"/>
        <w:rPr>
          <w:rFonts w:ascii="Times New Roman" w:hAnsi="Times New Roman" w:cs="Times New Roman"/>
          <w:sz w:val="72"/>
          <w:szCs w:val="72"/>
        </w:rPr>
      </w:pPr>
    </w:p>
    <w:p w14:paraId="7FBD82DC">
      <w:pPr>
        <w:pStyle w:val="14"/>
        <w:jc w:val="center"/>
        <w:rPr>
          <w:rFonts w:ascii="Times New Roman" w:hAnsi="Times New Roman" w:cs="Times New Roman"/>
          <w:sz w:val="72"/>
          <w:szCs w:val="72"/>
        </w:rPr>
      </w:pPr>
    </w:p>
    <w:p w14:paraId="065FDE7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8411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A308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3C57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9665E">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A9665E">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75F1E0"/>
    <w:multiLevelType w:val="singleLevel"/>
    <w:tmpl w:val="8C75F1E0"/>
    <w:lvl w:ilvl="0" w:tentative="0">
      <w:start w:val="7"/>
      <w:numFmt w:val="chineseCounting"/>
      <w:suff w:val="nothing"/>
      <w:lvlText w:val="%1、"/>
      <w:lvlJc w:val="left"/>
      <w:rPr>
        <w:rFonts w:hint="eastAsia"/>
      </w:rPr>
    </w:lvl>
  </w:abstractNum>
  <w:abstractNum w:abstractNumId="1">
    <w:nsid w:val="665D60AA"/>
    <w:multiLevelType w:val="singleLevel"/>
    <w:tmpl w:val="665D60AA"/>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zYzczYzYyZDM1MThmYjQ2ZjRmZTVhZmIwNjc2MDU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B20C40"/>
    <w:rsid w:val="1DFF72E5"/>
    <w:rsid w:val="1EFC6F07"/>
    <w:rsid w:val="22F12513"/>
    <w:rsid w:val="242A0B1C"/>
    <w:rsid w:val="24965C7C"/>
    <w:rsid w:val="26DE6967"/>
    <w:rsid w:val="26F62810"/>
    <w:rsid w:val="284D4DD9"/>
    <w:rsid w:val="2FDF85B8"/>
    <w:rsid w:val="2FFFEE04"/>
    <w:rsid w:val="33351BCA"/>
    <w:rsid w:val="34DF85B0"/>
    <w:rsid w:val="3619279E"/>
    <w:rsid w:val="36B54C29"/>
    <w:rsid w:val="3B8F36BC"/>
    <w:rsid w:val="3F6E15B3"/>
    <w:rsid w:val="3F9966FE"/>
    <w:rsid w:val="491FF225"/>
    <w:rsid w:val="4C127163"/>
    <w:rsid w:val="4FFD214C"/>
    <w:rsid w:val="51D95E97"/>
    <w:rsid w:val="5777D4F5"/>
    <w:rsid w:val="59DD8326"/>
    <w:rsid w:val="5C044B1C"/>
    <w:rsid w:val="5DEF592A"/>
    <w:rsid w:val="5FC01E40"/>
    <w:rsid w:val="5FC6BB1E"/>
    <w:rsid w:val="5FF720F1"/>
    <w:rsid w:val="62DE0626"/>
    <w:rsid w:val="67FF5C0B"/>
    <w:rsid w:val="6EFC0924"/>
    <w:rsid w:val="6FAA5C3A"/>
    <w:rsid w:val="6FB74722"/>
    <w:rsid w:val="6FEF8B7E"/>
    <w:rsid w:val="70805134"/>
    <w:rsid w:val="71A6591B"/>
    <w:rsid w:val="737D59BA"/>
    <w:rsid w:val="74E2767B"/>
    <w:rsid w:val="77C37683"/>
    <w:rsid w:val="79D19834"/>
    <w:rsid w:val="79FF515B"/>
    <w:rsid w:val="7BF1603C"/>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EF99D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3" w:lineRule="auto"/>
      <w:outlineLvl w:val="2"/>
    </w:pPr>
    <w:rPr>
      <w:b/>
      <w:sz w:val="32"/>
    </w:rPr>
  </w:style>
  <w:style w:type="character" w:default="1" w:styleId="11">
    <w:name w:val="Default Paragraph Font"/>
    <w:autoRedefine/>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autoRedefine/>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autoRedefine/>
    <w:unhideWhenUsed/>
    <w:qFormat/>
    <w:uiPriority w:val="99"/>
    <w:pPr>
      <w:ind w:firstLine="420" w:firstLineChars="200"/>
    </w:pPr>
  </w:style>
  <w:style w:type="paragraph" w:styleId="5">
    <w:name w:val="Balloon Text"/>
    <w:basedOn w:val="1"/>
    <w:link w:val="16"/>
    <w:autoRedefine/>
    <w:semiHidden/>
    <w:unhideWhenUsed/>
    <w:qFormat/>
    <w:uiPriority w:val="99"/>
    <w:rPr>
      <w:sz w:val="18"/>
      <w:szCs w:val="18"/>
    </w:rPr>
  </w:style>
  <w:style w:type="paragraph" w:styleId="6">
    <w:name w:val="footer"/>
    <w:basedOn w:val="1"/>
    <w:link w:val="13"/>
    <w:autoRedefine/>
    <w:unhideWhenUsed/>
    <w:qFormat/>
    <w:uiPriority w:val="99"/>
    <w:pPr>
      <w:tabs>
        <w:tab w:val="center" w:pos="4153"/>
        <w:tab w:val="right" w:pos="8306"/>
      </w:tabs>
      <w:snapToGrid w:val="0"/>
      <w:jc w:val="left"/>
    </w:pPr>
    <w:rPr>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qFormat/>
    <w:uiPriority w:val="99"/>
    <w:pPr>
      <w:jc w:val="left"/>
    </w:pPr>
    <w:rPr>
      <w:kern w:val="0"/>
      <w:sz w:val="24"/>
    </w:rPr>
  </w:style>
  <w:style w:type="character" w:customStyle="1" w:styleId="12">
    <w:name w:val="页眉 Char"/>
    <w:basedOn w:val="11"/>
    <w:link w:val="7"/>
    <w:autoRedefine/>
    <w:qFormat/>
    <w:uiPriority w:val="99"/>
    <w:rPr>
      <w:sz w:val="18"/>
      <w:szCs w:val="18"/>
    </w:rPr>
  </w:style>
  <w:style w:type="character" w:customStyle="1" w:styleId="13">
    <w:name w:val="页脚 Char"/>
    <w:basedOn w:val="11"/>
    <w:link w:val="6"/>
    <w:autoRedefine/>
    <w:qFormat/>
    <w:uiPriority w:val="99"/>
    <w:rPr>
      <w:sz w:val="18"/>
      <w:szCs w:val="18"/>
    </w:rPr>
  </w:style>
  <w:style w:type="paragraph" w:customStyle="1" w:styleId="14">
    <w:name w:val="Default"/>
    <w:autoRedefine/>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autoRedefine/>
    <w:qFormat/>
    <w:uiPriority w:val="34"/>
    <w:pPr>
      <w:ind w:firstLine="420" w:firstLineChars="200"/>
    </w:pPr>
  </w:style>
  <w:style w:type="character" w:customStyle="1" w:styleId="16">
    <w:name w:val="批注框文本 Char"/>
    <w:basedOn w:val="11"/>
    <w:link w:val="5"/>
    <w:autoRedefine/>
    <w:semiHidden/>
    <w:qFormat/>
    <w:uiPriority w:val="99"/>
    <w:rPr>
      <w:sz w:val="18"/>
      <w:szCs w:val="18"/>
    </w:rPr>
  </w:style>
  <w:style w:type="character" w:customStyle="1" w:styleId="17">
    <w:name w:val="font01"/>
    <w:basedOn w:val="11"/>
    <w:autoRedefine/>
    <w:qFormat/>
    <w:uiPriority w:val="0"/>
    <w:rPr>
      <w:rFonts w:hint="eastAsia" w:ascii="宋体" w:hAnsi="宋体" w:eastAsia="宋体" w:cs="宋体"/>
      <w:color w:val="000000"/>
      <w:sz w:val="22"/>
      <w:szCs w:val="22"/>
      <w:u w:val="none"/>
    </w:rPr>
  </w:style>
  <w:style w:type="character" w:customStyle="1" w:styleId="18">
    <w:name w:val="font21"/>
    <w:basedOn w:val="11"/>
    <w:autoRedefine/>
    <w:qFormat/>
    <w:uiPriority w:val="0"/>
    <w:rPr>
      <w:rFonts w:hint="eastAsia" w:ascii="宋体" w:hAnsi="宋体" w:eastAsia="宋体" w:cs="宋体"/>
      <w:color w:val="000000"/>
      <w:sz w:val="24"/>
      <w:szCs w:val="24"/>
      <w:u w:val="none"/>
    </w:rPr>
  </w:style>
  <w:style w:type="character" w:customStyle="1" w:styleId="19">
    <w:name w:val="font11"/>
    <w:basedOn w:val="1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817</Words>
  <Characters>827</Characters>
  <Lines>69</Lines>
  <Paragraphs>19</Paragraphs>
  <TotalTime>48</TotalTime>
  <ScaleCrop>false</ScaleCrop>
  <LinksUpToDate>false</LinksUpToDate>
  <CharactersWithSpaces>856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2026-10-09T15:42:29Z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eyJoZGlkIjoiNWFiZDg5MTVkOTk5Yjg5M2QwMmI0YjgwZDA4NzE5ZjAiLCJ1c2VySWQiOiIxMjI2MDAzMTUyIn0=</vt:lpwstr>
  </property>
</Properties>
</file>