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jc w:val="both"/>
        <w:rPr>
          <w:rFonts w:hAnsi="黑体"/>
          <w:sz w:val="36"/>
          <w:szCs w:val="36"/>
        </w:rPr>
      </w:pPr>
      <w:r>
        <w:rPr>
          <w:rFonts w:hint="eastAsia" w:hAnsi="黑体"/>
          <w:sz w:val="36"/>
          <w:szCs w:val="36"/>
        </w:rPr>
        <w:t>附件1</w:t>
      </w:r>
    </w:p>
    <w:p>
      <w:pPr>
        <w:pStyle w:val="14"/>
        <w:jc w:val="center"/>
        <w:rPr>
          <w:rFonts w:ascii="Times New Roman" w:hAnsi="Times New Roman" w:cs="Times New Roman"/>
          <w:sz w:val="56"/>
          <w:szCs w:val="56"/>
        </w:rPr>
      </w:pPr>
    </w:p>
    <w:p>
      <w:pPr>
        <w:pStyle w:val="14"/>
        <w:jc w:val="center"/>
        <w:rPr>
          <w:rFonts w:ascii="Times New Roman" w:hAnsi="Times New Roman" w:cs="Times New Roman"/>
          <w:sz w:val="84"/>
          <w:szCs w:val="84"/>
        </w:rPr>
      </w:pPr>
    </w:p>
    <w:p>
      <w:pPr>
        <w:pStyle w:val="14"/>
        <w:jc w:val="center"/>
        <w:rPr>
          <w:rFonts w:ascii="Times New Roman" w:hAnsi="Times New Roman" w:cs="Times New Roman"/>
          <w:sz w:val="84"/>
          <w:szCs w:val="84"/>
        </w:rPr>
      </w:pPr>
    </w:p>
    <w:p>
      <w:pPr>
        <w:pStyle w:val="14"/>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2024年度</w:t>
      </w:r>
    </w:p>
    <w:p>
      <w:pPr>
        <w:pStyle w:val="14"/>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lang w:eastAsia="zh-CN"/>
        </w:rPr>
        <w:t>民兵训练基地管理中心</w:t>
      </w:r>
      <w:r>
        <w:rPr>
          <w:rFonts w:ascii="Times New Roman" w:hAnsi="Times New Roman" w:eastAsia="方正小标宋简体" w:cs="Times New Roman"/>
          <w:sz w:val="44"/>
          <w:szCs w:val="44"/>
        </w:rPr>
        <w:t>部门决算</w:t>
      </w:r>
    </w:p>
    <w:p>
      <w:pPr>
        <w:pStyle w:val="14"/>
        <w:jc w:val="center"/>
        <w:rPr>
          <w:rFonts w:ascii="Times New Roman" w:hAnsi="Times New Roman" w:eastAsia="方正小标宋_GBK" w:cs="Times New Roman"/>
          <w:sz w:val="56"/>
          <w:szCs w:val="56"/>
        </w:rPr>
      </w:pPr>
    </w:p>
    <w:p>
      <w:pPr>
        <w:pStyle w:val="14"/>
        <w:jc w:val="center"/>
        <w:rPr>
          <w:rFonts w:ascii="Times New Roman" w:hAnsi="Times New Roman" w:cs="Times New Roman"/>
          <w:sz w:val="56"/>
          <w:szCs w:val="56"/>
        </w:rPr>
      </w:pPr>
    </w:p>
    <w:p>
      <w:pPr>
        <w:pStyle w:val="14"/>
        <w:rPr>
          <w:rFonts w:ascii="Times New Roman" w:hAnsi="Times New Roman" w:cs="Times New Roman"/>
          <w:sz w:val="56"/>
          <w:szCs w:val="56"/>
        </w:rPr>
      </w:pPr>
    </w:p>
    <w:p>
      <w:pPr>
        <w:pStyle w:val="14"/>
        <w:jc w:val="center"/>
        <w:rPr>
          <w:rFonts w:ascii="Times New Roman" w:hAnsi="Times New Roman" w:cs="Times New Roman"/>
          <w:sz w:val="32"/>
          <w:szCs w:val="32"/>
        </w:rPr>
      </w:pPr>
    </w:p>
    <w:p>
      <w:pPr>
        <w:pStyle w:val="14"/>
        <w:jc w:val="center"/>
        <w:rPr>
          <w:rFonts w:ascii="Times New Roman" w:hAnsi="Times New Roman" w:cs="Times New Roman"/>
          <w:sz w:val="32"/>
          <w:szCs w:val="32"/>
        </w:rPr>
      </w:pPr>
    </w:p>
    <w:p>
      <w:pPr>
        <w:pStyle w:val="14"/>
        <w:jc w:val="center"/>
        <w:rPr>
          <w:rFonts w:ascii="Times New Roman" w:hAnsi="Times New Roman" w:cs="Times New Roman"/>
          <w:sz w:val="32"/>
          <w:szCs w:val="32"/>
        </w:rPr>
      </w:pPr>
    </w:p>
    <w:p>
      <w:pPr>
        <w:pStyle w:val="14"/>
        <w:jc w:val="center"/>
        <w:rPr>
          <w:rFonts w:ascii="Times New Roman" w:hAnsi="Times New Roman" w:cs="Times New Roman"/>
          <w:sz w:val="32"/>
          <w:szCs w:val="32"/>
        </w:rPr>
      </w:pPr>
    </w:p>
    <w:p>
      <w:pPr>
        <w:pStyle w:val="14"/>
        <w:jc w:val="center"/>
        <w:rPr>
          <w:rFonts w:ascii="Times New Roman" w:hAnsi="Times New Roman" w:cs="Times New Roman"/>
          <w:sz w:val="32"/>
          <w:szCs w:val="32"/>
        </w:rPr>
      </w:pPr>
    </w:p>
    <w:p>
      <w:pPr>
        <w:pStyle w:val="14"/>
        <w:jc w:val="center"/>
        <w:rPr>
          <w:rFonts w:ascii="Times New Roman" w:hAnsi="Times New Roman" w:cs="Times New Roman"/>
          <w:sz w:val="32"/>
          <w:szCs w:val="32"/>
        </w:rPr>
      </w:pPr>
    </w:p>
    <w:p>
      <w:pPr>
        <w:pStyle w:val="14"/>
        <w:spacing w:line="540" w:lineRule="exact"/>
        <w:jc w:val="center"/>
        <w:rPr>
          <w:rFonts w:ascii="Times New Roman" w:hAnsi="Times New Roman" w:cs="Times New Roman"/>
          <w:sz w:val="56"/>
          <w:szCs w:val="56"/>
        </w:rPr>
      </w:pPr>
    </w:p>
    <w:p>
      <w:pPr>
        <w:rPr>
          <w:rFonts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p>
    <w:p>
      <w:pPr>
        <w:pStyle w:val="14"/>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pPr>
        <w:pStyle w:val="14"/>
        <w:spacing w:line="600" w:lineRule="exact"/>
        <w:jc w:val="both"/>
        <w:rPr>
          <w:rFonts w:ascii="Times New Roman" w:hAnsi="Times New Roman" w:cs="Times New Roman"/>
          <w:b/>
          <w:sz w:val="36"/>
          <w:szCs w:val="28"/>
        </w:rPr>
      </w:pPr>
    </w:p>
    <w:p>
      <w:pPr>
        <w:pStyle w:val="14"/>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pPr>
        <w:pStyle w:val="14"/>
        <w:spacing w:line="600" w:lineRule="exact"/>
        <w:jc w:val="center"/>
        <w:rPr>
          <w:rFonts w:ascii="Times New Roman" w:hAnsi="Times New Roman" w:cs="Times New Roman"/>
          <w:b/>
          <w:sz w:val="36"/>
          <w:szCs w:val="28"/>
        </w:rPr>
      </w:pPr>
    </w:p>
    <w:p>
      <w:pPr>
        <w:pStyle w:val="14"/>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eastAsia="zh-CN"/>
        </w:rPr>
        <w:t>民兵训练基地管理中心</w:t>
      </w:r>
      <w:r>
        <w:rPr>
          <w:rFonts w:ascii="Times New Roman" w:hAnsi="Times New Roman" w:cs="Times New Roman"/>
          <w:bCs/>
          <w:sz w:val="32"/>
          <w:szCs w:val="32"/>
        </w:rPr>
        <w:t>概况</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九、关于机关运行经费支出说明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十、一般性支出情况说明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十一、关于政府采购支出说明</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十二、关于国有资产占用情况说明</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十三、关于2024年度预算绩效管理情况的说明</w:t>
      </w:r>
    </w:p>
    <w:p>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pPr>
        <w:pStyle w:val="14"/>
        <w:spacing w:line="600" w:lineRule="exact"/>
        <w:rPr>
          <w:rFonts w:ascii="Times New Roman" w:hAnsi="Times New Roman" w:cs="Times New Roman"/>
          <w:bCs/>
          <w:sz w:val="28"/>
          <w:szCs w:val="28"/>
        </w:rPr>
      </w:pPr>
    </w:p>
    <w:p>
      <w:pPr>
        <w:jc w:val="center"/>
        <w:rPr>
          <w:rFonts w:ascii="Times New Roman" w:hAnsi="Times New Roman" w:cs="Times New Roman"/>
          <w:sz w:val="72"/>
          <w:szCs w:val="72"/>
        </w:rPr>
      </w:pPr>
    </w:p>
    <w:p>
      <w:pPr>
        <w:jc w:val="center"/>
        <w:rPr>
          <w:rFonts w:ascii="Times New Roman" w:hAnsi="Times New Roman" w:cs="Times New Roman"/>
          <w:sz w:val="72"/>
          <w:szCs w:val="72"/>
        </w:rPr>
      </w:pPr>
    </w:p>
    <w:p>
      <w:pPr>
        <w:jc w:val="center"/>
        <w:rPr>
          <w:rFonts w:ascii="Times New Roman" w:hAnsi="Times New Roman" w:cs="Times New Roman"/>
          <w:sz w:val="72"/>
          <w:szCs w:val="72"/>
        </w:rPr>
      </w:pPr>
    </w:p>
    <w:p>
      <w:pPr>
        <w:pStyle w:val="2"/>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pPr>
        <w:rPr>
          <w:rFonts w:ascii="Times New Roman" w:hAnsi="Times New Roman" w:eastAsia="方正小标宋_GBK" w:cs="Times New Roman"/>
          <w:sz w:val="72"/>
          <w:szCs w:val="72"/>
        </w:rPr>
      </w:pPr>
    </w:p>
    <w:p>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pPr>
        <w:pStyle w:val="14"/>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eastAsia="zh-CN"/>
        </w:rPr>
        <w:t>民兵训练基地管理中心</w:t>
      </w:r>
      <w:r>
        <w:rPr>
          <w:rFonts w:ascii="Times New Roman" w:hAnsi="Times New Roman" w:eastAsia="方正小标宋_GBK" w:cs="Times New Roman"/>
          <w:sz w:val="52"/>
          <w:szCs w:val="52"/>
        </w:rPr>
        <w:t>部门概况</w:t>
      </w:r>
    </w:p>
    <w:p>
      <w:pPr>
        <w:pStyle w:val="3"/>
        <w:ind w:left="0" w:leftChars="0" w:firstLine="0" w:firstLineChars="0"/>
        <w:rPr>
          <w:rFonts w:ascii="Times New Roman" w:hAnsi="Times New Roman" w:cs="Times New Roman"/>
        </w:rPr>
      </w:pPr>
    </w:p>
    <w:p>
      <w:pPr>
        <w:widowControl/>
        <w:numPr>
          <w:ilvl w:val="0"/>
          <w:numId w:val="1"/>
        </w:numPr>
        <w:spacing w:line="600" w:lineRule="exact"/>
        <w:ind w:firstLine="627" w:firstLineChars="196"/>
        <w:jc w:val="left"/>
        <w:rPr>
          <w:rFonts w:ascii="Times New Roman" w:hAnsi="Times New Roman" w:eastAsia="黑体" w:cs="Times New Roman"/>
          <w:sz w:val="32"/>
          <w:szCs w:val="32"/>
        </w:rPr>
      </w:pPr>
      <w:r>
        <w:rPr>
          <w:rFonts w:ascii="Times New Roman" w:hAnsi="Times New Roman" w:eastAsia="黑体" w:cs="Times New Roman"/>
          <w:sz w:val="32"/>
          <w:szCs w:val="32"/>
        </w:rPr>
        <w:t>部门职责</w:t>
      </w:r>
    </w:p>
    <w:p>
      <w:pPr>
        <w:widowControl/>
        <w:numPr>
          <w:ilvl w:val="0"/>
          <w:numId w:val="0"/>
        </w:numPr>
        <w:spacing w:line="600" w:lineRule="exact"/>
        <w:ind w:firstLine="640" w:firstLineChars="200"/>
        <w:jc w:val="left"/>
        <w:rPr>
          <w:rFonts w:hint="eastAsia" w:ascii="仿宋" w:hAnsi="仿宋" w:eastAsia="仿宋" w:cs="仿宋"/>
          <w:b w:val="0"/>
          <w:bCs/>
          <w:sz w:val="32"/>
          <w:szCs w:val="32"/>
        </w:rPr>
      </w:pPr>
      <w:r>
        <w:rPr>
          <w:rFonts w:hint="eastAsia" w:ascii="仿宋" w:hAnsi="仿宋" w:eastAsia="仿宋" w:cs="仿宋"/>
          <w:b w:val="0"/>
          <w:bCs/>
          <w:sz w:val="32"/>
          <w:szCs w:val="32"/>
        </w:rPr>
        <w:t>承担辖区内民兵日常训练组织、训练场地及设施设备维护管理、训练期间人员食宿保障等工作，协助开展国防教育宣传、应急处突训练支援等任务，保障民兵训练工作规范化、常态化开展。</w:t>
      </w:r>
    </w:p>
    <w:p>
      <w:pPr>
        <w:widowControl/>
        <w:spacing w:line="600" w:lineRule="exact"/>
        <w:ind w:firstLine="320" w:firstLineChars="100"/>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pPr>
        <w:widowControl/>
        <w:numPr>
          <w:ilvl w:val="0"/>
          <w:numId w:val="0"/>
        </w:numPr>
        <w:spacing w:line="600" w:lineRule="exact"/>
        <w:ind w:firstLine="640" w:firstLineChars="200"/>
        <w:jc w:val="left"/>
        <w:rPr>
          <w:rFonts w:hint="eastAsia" w:ascii="仿宋" w:hAnsi="仿宋" w:eastAsia="仿宋" w:cs="仿宋"/>
          <w:b w:val="0"/>
          <w:bCs/>
          <w:sz w:val="32"/>
          <w:szCs w:val="32"/>
          <w:lang w:val="en-US" w:eastAsia="zh-CN"/>
        </w:rPr>
      </w:pPr>
      <w:r>
        <w:rPr>
          <w:rFonts w:ascii="Times New Roman" w:hAnsi="Times New Roman" w:eastAsia="仿宋_GB2312" w:cs="Times New Roman"/>
          <w:bCs/>
          <w:kern w:val="0"/>
          <w:sz w:val="32"/>
          <w:szCs w:val="32"/>
        </w:rPr>
        <w:t>（一）内设机构设置。</w:t>
      </w:r>
      <w:r>
        <w:rPr>
          <w:rFonts w:hint="eastAsia" w:ascii="仿宋" w:hAnsi="仿宋" w:eastAsia="仿宋" w:cs="仿宋"/>
          <w:b w:val="0"/>
          <w:bCs/>
          <w:sz w:val="32"/>
          <w:szCs w:val="32"/>
        </w:rPr>
        <w:t>本中心为</w:t>
      </w:r>
      <w:r>
        <w:rPr>
          <w:rFonts w:hint="eastAsia" w:ascii="仿宋" w:hAnsi="仿宋" w:eastAsia="仿宋" w:cs="仿宋"/>
          <w:b w:val="0"/>
          <w:bCs/>
          <w:sz w:val="32"/>
          <w:szCs w:val="32"/>
          <w:lang w:eastAsia="zh-CN"/>
        </w:rPr>
        <w:t>蓝山县人民政府办公室</w:t>
      </w:r>
      <w:r>
        <w:rPr>
          <w:rFonts w:hint="eastAsia" w:ascii="仿宋" w:hAnsi="仿宋" w:eastAsia="仿宋" w:cs="仿宋"/>
          <w:b w:val="0"/>
          <w:bCs/>
          <w:sz w:val="32"/>
          <w:szCs w:val="32"/>
        </w:rPr>
        <w:t>下属公益一类事业单位，内设3个职能科室，分别为综合管理科（负责行政、人事、财务等日常统筹）、训练保障科（负责训练计划对接、场地设备维护）、后勤服务科（负责人员食宿、物资采购与储备）</w:t>
      </w:r>
      <w:r>
        <w:rPr>
          <w:rFonts w:hint="eastAsia" w:ascii="仿宋" w:hAnsi="仿宋" w:eastAsia="仿宋" w:cs="仿宋"/>
          <w:b w:val="0"/>
          <w:bCs/>
          <w:sz w:val="32"/>
          <w:szCs w:val="32"/>
          <w:lang w:eastAsia="zh-CN"/>
        </w:rPr>
        <w:t>。</w:t>
      </w:r>
    </w:p>
    <w:p>
      <w:pPr>
        <w:keepNext w:val="0"/>
        <w:keepLines w:val="0"/>
        <w:pageBreakBefore w:val="0"/>
        <w:kinsoku/>
        <w:wordWrap/>
        <w:overflowPunct/>
        <w:topLinePunct w:val="0"/>
        <w:autoSpaceDE/>
        <w:autoSpaceDN/>
        <w:bidi w:val="0"/>
        <w:adjustRightInd/>
        <w:snapToGrid/>
        <w:spacing w:line="600" w:lineRule="atLeast"/>
        <w:ind w:left="0" w:leftChars="0" w:right="0" w:firstLine="640" w:firstLineChars="200"/>
        <w:jc w:val="both"/>
        <w:textAlignment w:val="auto"/>
        <w:rPr>
          <w:rFonts w:hint="default" w:ascii="Times New Roman" w:hAnsi="Times New Roman" w:eastAsia="仿宋_GB2312" w:cs="Times New Roman"/>
          <w:bCs/>
          <w:spacing w:val="0"/>
          <w:kern w:val="0"/>
          <w:sz w:val="32"/>
          <w:szCs w:val="32"/>
        </w:rPr>
      </w:pPr>
      <w:r>
        <w:rPr>
          <w:rFonts w:ascii="Times New Roman" w:hAnsi="Times New Roman" w:eastAsia="仿宋_GB2312" w:cs="Times New Roman"/>
          <w:bCs/>
          <w:kern w:val="0"/>
          <w:sz w:val="32"/>
          <w:szCs w:val="32"/>
        </w:rPr>
        <w:t>（二）决算单位构成。</w:t>
      </w:r>
      <w:r>
        <w:rPr>
          <w:rFonts w:hint="default" w:ascii="Times New Roman" w:hAnsi="Times New Roman" w:eastAsia="仿宋_GB2312" w:cs="Times New Roman"/>
          <w:spacing w:val="0"/>
          <w:sz w:val="32"/>
          <w:szCs w:val="32"/>
          <w:lang w:eastAsia="zh-CN"/>
        </w:rPr>
        <w:t>蓝山</w:t>
      </w:r>
      <w:r>
        <w:rPr>
          <w:rFonts w:hint="default" w:ascii="Times New Roman" w:hAnsi="Times New Roman" w:eastAsia="仿宋_GB2312" w:cs="Times New Roman"/>
          <w:spacing w:val="0"/>
          <w:sz w:val="32"/>
          <w:szCs w:val="32"/>
        </w:rPr>
        <w:t>县</w:t>
      </w:r>
      <w:r>
        <w:rPr>
          <w:rFonts w:hint="eastAsia" w:ascii="Times New Roman" w:hAnsi="Times New Roman" w:eastAsia="仿宋_GB2312" w:cs="Times New Roman"/>
          <w:spacing w:val="0"/>
          <w:sz w:val="32"/>
          <w:szCs w:val="32"/>
          <w:lang w:eastAsia="zh-CN"/>
        </w:rPr>
        <w:t>民兵训练基地管理中心</w:t>
      </w:r>
      <w:r>
        <w:rPr>
          <w:rFonts w:hint="default" w:ascii="Times New Roman" w:hAnsi="Times New Roman" w:eastAsia="仿宋_GB2312" w:cs="Times New Roman"/>
          <w:bCs/>
          <w:spacing w:val="0"/>
          <w:kern w:val="0"/>
          <w:sz w:val="32"/>
          <w:szCs w:val="32"/>
        </w:rPr>
        <w:t>202</w:t>
      </w:r>
      <w:r>
        <w:rPr>
          <w:rFonts w:hint="eastAsia" w:ascii="Times New Roman" w:hAnsi="Times New Roman" w:eastAsia="仿宋_GB2312" w:cs="Times New Roman"/>
          <w:bCs/>
          <w:spacing w:val="0"/>
          <w:kern w:val="0"/>
          <w:sz w:val="32"/>
          <w:szCs w:val="32"/>
          <w:lang w:val="en-US" w:eastAsia="zh-CN"/>
        </w:rPr>
        <w:t>4</w:t>
      </w:r>
      <w:r>
        <w:rPr>
          <w:rFonts w:hint="default" w:ascii="Times New Roman" w:hAnsi="Times New Roman" w:eastAsia="仿宋_GB2312" w:cs="Times New Roman"/>
          <w:bCs/>
          <w:spacing w:val="0"/>
          <w:kern w:val="0"/>
          <w:sz w:val="32"/>
          <w:szCs w:val="32"/>
        </w:rPr>
        <w:t>年部门决算汇总公开单位构成包括：</w:t>
      </w:r>
      <w:r>
        <w:rPr>
          <w:rFonts w:hint="default" w:ascii="Times New Roman" w:hAnsi="Times New Roman" w:eastAsia="仿宋_GB2312" w:cs="Times New Roman"/>
          <w:spacing w:val="0"/>
          <w:kern w:val="36"/>
          <w:sz w:val="32"/>
          <w:szCs w:val="32"/>
        </w:rPr>
        <w:t>蓝山县</w:t>
      </w:r>
      <w:r>
        <w:rPr>
          <w:rFonts w:hint="eastAsia" w:ascii="Times New Roman" w:hAnsi="Times New Roman" w:eastAsia="仿宋_GB2312" w:cs="Times New Roman"/>
          <w:spacing w:val="0"/>
          <w:kern w:val="36"/>
          <w:sz w:val="32"/>
          <w:szCs w:val="32"/>
          <w:lang w:eastAsia="zh-CN"/>
        </w:rPr>
        <w:t>民兵训练基地管理中心</w:t>
      </w:r>
      <w:r>
        <w:rPr>
          <w:rFonts w:hint="eastAsia" w:eastAsia="仿宋_GB2312" w:cs="Times New Roman"/>
          <w:spacing w:val="0"/>
          <w:kern w:val="36"/>
          <w:sz w:val="32"/>
          <w:szCs w:val="32"/>
          <w:lang w:val="en-US" w:eastAsia="zh-CN"/>
        </w:rPr>
        <w:t>单位</w:t>
      </w:r>
      <w:r>
        <w:rPr>
          <w:rFonts w:hint="default" w:ascii="Times New Roman" w:hAnsi="Times New Roman" w:eastAsia="仿宋_GB2312" w:cs="Times New Roman"/>
          <w:bCs/>
          <w:spacing w:val="0"/>
          <w:kern w:val="0"/>
          <w:sz w:val="32"/>
          <w:szCs w:val="32"/>
        </w:rPr>
        <w:t>本级。</w:t>
      </w:r>
    </w:p>
    <w:p>
      <w:pPr>
        <w:jc w:val="left"/>
        <w:rPr>
          <w:rFonts w:ascii="Times New Roman" w:hAnsi="Times New Roman" w:eastAsia="仿宋_GB2312" w:cs="Times New Roman"/>
          <w:sz w:val="28"/>
          <w:szCs w:val="32"/>
        </w:rPr>
      </w:pPr>
    </w:p>
    <w:p>
      <w:pPr>
        <w:jc w:val="center"/>
        <w:rPr>
          <w:rFonts w:ascii="Times New Roman" w:hAnsi="Times New Roman" w:eastAsia="黑体" w:cs="Times New Roman"/>
          <w:sz w:val="28"/>
          <w:szCs w:val="28"/>
        </w:rPr>
      </w:pPr>
    </w:p>
    <w:p>
      <w:pPr>
        <w:jc w:val="center"/>
        <w:rPr>
          <w:rFonts w:ascii="Times New Roman" w:hAnsi="Times New Roman" w:eastAsia="黑体" w:cs="Times New Roman"/>
          <w:sz w:val="28"/>
          <w:szCs w:val="28"/>
        </w:rPr>
      </w:pPr>
    </w:p>
    <w:p>
      <w:pPr>
        <w:jc w:val="center"/>
        <w:rPr>
          <w:rFonts w:ascii="Times New Roman" w:hAnsi="Times New Roman" w:eastAsia="黑体" w:cs="Times New Roman"/>
          <w:sz w:val="28"/>
          <w:szCs w:val="28"/>
        </w:rPr>
      </w:pPr>
    </w:p>
    <w:p>
      <w:pPr>
        <w:jc w:val="center"/>
        <w:rPr>
          <w:rFonts w:ascii="Times New Roman" w:hAnsi="Times New Roman" w:eastAsia="黑体" w:cs="Times New Roman"/>
          <w:sz w:val="28"/>
          <w:szCs w:val="28"/>
        </w:rPr>
      </w:pPr>
    </w:p>
    <w:p>
      <w:pPr>
        <w:jc w:val="center"/>
        <w:rPr>
          <w:rFonts w:ascii="Times New Roman" w:hAnsi="Times New Roman" w:eastAsia="黑体" w:cs="Times New Roman"/>
          <w:sz w:val="28"/>
          <w:szCs w:val="28"/>
        </w:rPr>
      </w:pPr>
    </w:p>
    <w:p>
      <w:pPr>
        <w:pStyle w:val="2"/>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pPr>
        <w:pStyle w:val="14"/>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pPr>
        <w:widowControl/>
        <w:spacing w:after="156"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lang w:bidi="ar"/>
        </w:rPr>
        <w:t>收入支出决算总表</w:t>
      </w:r>
    </w:p>
    <w:p>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公开01表</w:t>
      </w:r>
    </w:p>
    <w:p>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eastAsia="zh-CN" w:bidi="ar"/>
        </w:rPr>
        <w:t>蓝山县民兵训练基地管理中心</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单位：万元</w:t>
      </w:r>
    </w:p>
    <w:tbl>
      <w:tblPr>
        <w:tblStyle w:val="11"/>
        <w:tblW w:w="14896" w:type="dxa"/>
        <w:jc w:val="center"/>
        <w:tblInd w:w="0" w:type="dxa"/>
        <w:tblLayout w:type="fixed"/>
        <w:tblCellMar>
          <w:top w:w="0" w:type="dxa"/>
          <w:left w:w="108" w:type="dxa"/>
          <w:bottom w:w="0" w:type="dxa"/>
          <w:right w:w="108" w:type="dxa"/>
        </w:tblCellMar>
      </w:tblPr>
      <w:tblGrid>
        <w:gridCol w:w="5352"/>
        <w:gridCol w:w="790"/>
        <w:gridCol w:w="1200"/>
        <w:gridCol w:w="4507"/>
        <w:gridCol w:w="790"/>
        <w:gridCol w:w="2257"/>
      </w:tblGrid>
      <w:tr>
        <w:tblPrEx>
          <w:tblLayout w:type="fixed"/>
          <w:tblCellMar>
            <w:top w:w="0" w:type="dxa"/>
            <w:left w:w="108" w:type="dxa"/>
            <w:bottom w:w="0" w:type="dxa"/>
            <w:right w:w="108" w:type="dxa"/>
          </w:tblCellMar>
        </w:tblPrEx>
        <w:trPr>
          <w:trHeight w:val="340" w:hRule="exact"/>
          <w:jc w:val="center"/>
        </w:trPr>
        <w:tc>
          <w:tcPr>
            <w:tcW w:w="734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收入</w:t>
            </w:r>
          </w:p>
        </w:tc>
        <w:tc>
          <w:tcPr>
            <w:tcW w:w="755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支出</w:t>
            </w:r>
          </w:p>
        </w:tc>
      </w:tr>
      <w:tr>
        <w:tblPrEx>
          <w:tblLayout w:type="fixed"/>
          <w:tblCellMar>
            <w:top w:w="0" w:type="dxa"/>
            <w:left w:w="108" w:type="dxa"/>
            <w:bottom w:w="0" w:type="dxa"/>
            <w:right w:w="108" w:type="dxa"/>
          </w:tblCellMar>
        </w:tblPrEx>
        <w:trPr>
          <w:trHeight w:val="340" w:hRule="exact"/>
          <w:jc w:val="center"/>
        </w:trPr>
        <w:tc>
          <w:tcPr>
            <w:tcW w:w="53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7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c>
          <w:tcPr>
            <w:tcW w:w="45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7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22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r>
      <w:tr>
        <w:tblPrEx>
          <w:tblLayout w:type="fixed"/>
          <w:tblCellMar>
            <w:top w:w="0" w:type="dxa"/>
            <w:left w:w="108" w:type="dxa"/>
            <w:bottom w:w="0" w:type="dxa"/>
            <w:right w:w="108" w:type="dxa"/>
          </w:tblCellMar>
        </w:tblPrEx>
        <w:trPr>
          <w:trHeight w:val="340" w:hRule="exact"/>
          <w:jc w:val="center"/>
        </w:trPr>
        <w:tc>
          <w:tcPr>
            <w:tcW w:w="53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7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Times New Roman" w:hAnsi="Times New Roman" w:eastAsia="仿宋_GB2312" w:cs="Times New Roman"/>
                <w:color w:val="000000"/>
                <w:sz w:val="24"/>
                <w:szCs w:val="24"/>
              </w:rPr>
            </w:pP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45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7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Times New Roman" w:hAnsi="Times New Roman" w:eastAsia="仿宋_GB2312" w:cs="Times New Roman"/>
                <w:color w:val="000000"/>
                <w:sz w:val="24"/>
                <w:szCs w:val="24"/>
              </w:rPr>
            </w:pPr>
          </w:p>
        </w:tc>
        <w:tc>
          <w:tcPr>
            <w:tcW w:w="22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r>
      <w:tr>
        <w:tblPrEx>
          <w:tblLayout w:type="fixed"/>
          <w:tblCellMar>
            <w:top w:w="0" w:type="dxa"/>
            <w:left w:w="108" w:type="dxa"/>
            <w:bottom w:w="0" w:type="dxa"/>
            <w:right w:w="108" w:type="dxa"/>
          </w:tblCellMar>
        </w:tblPrEx>
        <w:trPr>
          <w:trHeight w:val="340" w:hRule="exact"/>
          <w:jc w:val="center"/>
        </w:trPr>
        <w:tc>
          <w:tcPr>
            <w:tcW w:w="53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一、一般公共预算财政拨款收入</w:t>
            </w:r>
          </w:p>
        </w:tc>
        <w:tc>
          <w:tcPr>
            <w:tcW w:w="7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94.00</w:t>
            </w:r>
          </w:p>
        </w:tc>
        <w:tc>
          <w:tcPr>
            <w:tcW w:w="45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一、一般公共服务支出</w:t>
            </w:r>
          </w:p>
        </w:tc>
        <w:tc>
          <w:tcPr>
            <w:tcW w:w="7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14</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 xml:space="preserve">   89.41</w:t>
            </w:r>
          </w:p>
        </w:tc>
      </w:tr>
      <w:tr>
        <w:tblPrEx>
          <w:tblLayout w:type="fixed"/>
          <w:tblCellMar>
            <w:top w:w="0" w:type="dxa"/>
            <w:left w:w="108" w:type="dxa"/>
            <w:bottom w:w="0" w:type="dxa"/>
            <w:right w:w="108" w:type="dxa"/>
          </w:tblCellMar>
        </w:tblPrEx>
        <w:trPr>
          <w:trHeight w:val="340" w:hRule="exact"/>
          <w:jc w:val="center"/>
        </w:trPr>
        <w:tc>
          <w:tcPr>
            <w:tcW w:w="53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二、政府性基金预算财政拨款收入</w:t>
            </w:r>
          </w:p>
        </w:tc>
        <w:tc>
          <w:tcPr>
            <w:tcW w:w="7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c>
          <w:tcPr>
            <w:tcW w:w="45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二、外交支出</w:t>
            </w:r>
          </w:p>
        </w:tc>
        <w:tc>
          <w:tcPr>
            <w:tcW w:w="7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15</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r>
      <w:tr>
        <w:tblPrEx>
          <w:tblLayout w:type="fixed"/>
          <w:tblCellMar>
            <w:top w:w="0" w:type="dxa"/>
            <w:left w:w="108" w:type="dxa"/>
            <w:bottom w:w="0" w:type="dxa"/>
            <w:right w:w="108" w:type="dxa"/>
          </w:tblCellMar>
        </w:tblPrEx>
        <w:trPr>
          <w:trHeight w:val="340" w:hRule="exact"/>
          <w:jc w:val="center"/>
        </w:trPr>
        <w:tc>
          <w:tcPr>
            <w:tcW w:w="53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三、国有资本经营预算财政拨款收入</w:t>
            </w:r>
          </w:p>
        </w:tc>
        <w:tc>
          <w:tcPr>
            <w:tcW w:w="7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c>
          <w:tcPr>
            <w:tcW w:w="45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三、国防支出</w:t>
            </w:r>
          </w:p>
        </w:tc>
        <w:tc>
          <w:tcPr>
            <w:tcW w:w="7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16</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r>
      <w:tr>
        <w:tblPrEx>
          <w:tblLayout w:type="fixed"/>
          <w:tblCellMar>
            <w:top w:w="0" w:type="dxa"/>
            <w:left w:w="108" w:type="dxa"/>
            <w:bottom w:w="0" w:type="dxa"/>
            <w:right w:w="108" w:type="dxa"/>
          </w:tblCellMar>
        </w:tblPrEx>
        <w:trPr>
          <w:trHeight w:val="340" w:hRule="exact"/>
          <w:jc w:val="center"/>
        </w:trPr>
        <w:tc>
          <w:tcPr>
            <w:tcW w:w="53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四、上级补助收入</w:t>
            </w:r>
          </w:p>
        </w:tc>
        <w:tc>
          <w:tcPr>
            <w:tcW w:w="7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c>
          <w:tcPr>
            <w:tcW w:w="45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四、公共安全支出</w:t>
            </w:r>
          </w:p>
        </w:tc>
        <w:tc>
          <w:tcPr>
            <w:tcW w:w="7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17</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r>
      <w:tr>
        <w:tblPrEx>
          <w:tblLayout w:type="fixed"/>
          <w:tblCellMar>
            <w:top w:w="0" w:type="dxa"/>
            <w:left w:w="108" w:type="dxa"/>
            <w:bottom w:w="0" w:type="dxa"/>
            <w:right w:w="108" w:type="dxa"/>
          </w:tblCellMar>
        </w:tblPrEx>
        <w:trPr>
          <w:trHeight w:val="340" w:hRule="exact"/>
          <w:jc w:val="center"/>
        </w:trPr>
        <w:tc>
          <w:tcPr>
            <w:tcW w:w="53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五、事业收入</w:t>
            </w:r>
          </w:p>
        </w:tc>
        <w:tc>
          <w:tcPr>
            <w:tcW w:w="7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c>
          <w:tcPr>
            <w:tcW w:w="45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五、教育支出</w:t>
            </w:r>
          </w:p>
        </w:tc>
        <w:tc>
          <w:tcPr>
            <w:tcW w:w="7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18</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r>
      <w:tr>
        <w:tblPrEx>
          <w:tblLayout w:type="fixed"/>
          <w:tblCellMar>
            <w:top w:w="0" w:type="dxa"/>
            <w:left w:w="108" w:type="dxa"/>
            <w:bottom w:w="0" w:type="dxa"/>
            <w:right w:w="108" w:type="dxa"/>
          </w:tblCellMar>
        </w:tblPrEx>
        <w:trPr>
          <w:trHeight w:val="340" w:hRule="exact"/>
          <w:jc w:val="center"/>
        </w:trPr>
        <w:tc>
          <w:tcPr>
            <w:tcW w:w="53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六、经营收入</w:t>
            </w:r>
          </w:p>
        </w:tc>
        <w:tc>
          <w:tcPr>
            <w:tcW w:w="7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c>
          <w:tcPr>
            <w:tcW w:w="45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ascii="Times New Roman" w:hAnsi="Times New Roman" w:eastAsia="仿宋_GB2312" w:cs="Times New Roman"/>
                <w:color w:val="000000"/>
                <w:sz w:val="22"/>
                <w:lang w:eastAsia="zh-CN"/>
              </w:rPr>
            </w:pPr>
            <w:r>
              <w:rPr>
                <w:rFonts w:hint="eastAsia" w:ascii="Times New Roman" w:hAnsi="Times New Roman" w:eastAsia="仿宋_GB2312" w:cs="Times New Roman"/>
                <w:color w:val="000000"/>
                <w:sz w:val="22"/>
                <w:lang w:eastAsia="zh-CN"/>
              </w:rPr>
              <w:t>八、社会保障和就业支出</w:t>
            </w:r>
          </w:p>
        </w:tc>
        <w:tc>
          <w:tcPr>
            <w:tcW w:w="7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19</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 xml:space="preserve">    3.43</w:t>
            </w:r>
          </w:p>
        </w:tc>
      </w:tr>
      <w:tr>
        <w:tblPrEx>
          <w:tblLayout w:type="fixed"/>
          <w:tblCellMar>
            <w:top w:w="0" w:type="dxa"/>
            <w:left w:w="108" w:type="dxa"/>
            <w:bottom w:w="0" w:type="dxa"/>
            <w:right w:w="108" w:type="dxa"/>
          </w:tblCellMar>
        </w:tblPrEx>
        <w:trPr>
          <w:trHeight w:val="340" w:hRule="exact"/>
          <w:jc w:val="center"/>
        </w:trPr>
        <w:tc>
          <w:tcPr>
            <w:tcW w:w="53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七、附属单位上缴收入</w:t>
            </w:r>
          </w:p>
        </w:tc>
        <w:tc>
          <w:tcPr>
            <w:tcW w:w="7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c>
          <w:tcPr>
            <w:tcW w:w="45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仿宋_GB2312" w:cs="Times New Roman"/>
                <w:color w:val="000000"/>
                <w:sz w:val="24"/>
                <w:szCs w:val="24"/>
                <w:lang w:eastAsia="zh-CN"/>
              </w:rPr>
            </w:pPr>
            <w:r>
              <w:rPr>
                <w:rFonts w:hint="eastAsia" w:ascii="Times New Roman" w:hAnsi="Times New Roman" w:eastAsia="仿宋_GB2312" w:cs="Times New Roman"/>
                <w:color w:val="000000"/>
                <w:sz w:val="24"/>
                <w:szCs w:val="24"/>
                <w:lang w:eastAsia="zh-CN"/>
              </w:rPr>
              <w:t>九、卫生健康支出</w:t>
            </w:r>
          </w:p>
        </w:tc>
        <w:tc>
          <w:tcPr>
            <w:tcW w:w="7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 xml:space="preserve">    0.80</w:t>
            </w:r>
          </w:p>
        </w:tc>
      </w:tr>
      <w:tr>
        <w:tblPrEx>
          <w:tblLayout w:type="fixed"/>
          <w:tblCellMar>
            <w:top w:w="0" w:type="dxa"/>
            <w:left w:w="108" w:type="dxa"/>
            <w:bottom w:w="0" w:type="dxa"/>
            <w:right w:w="108" w:type="dxa"/>
          </w:tblCellMar>
        </w:tblPrEx>
        <w:trPr>
          <w:trHeight w:val="340" w:hRule="exact"/>
          <w:jc w:val="center"/>
        </w:trPr>
        <w:tc>
          <w:tcPr>
            <w:tcW w:w="53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八、其他收入</w:t>
            </w:r>
          </w:p>
        </w:tc>
        <w:tc>
          <w:tcPr>
            <w:tcW w:w="7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Times New Roman" w:hAnsi="Times New Roman" w:eastAsia="仿宋_GB2312" w:cs="Times New Roman"/>
                <w:color w:val="000000"/>
                <w:sz w:val="22"/>
              </w:rPr>
            </w:pPr>
          </w:p>
        </w:tc>
        <w:tc>
          <w:tcPr>
            <w:tcW w:w="45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仿宋_GB2312" w:cs="Times New Roman"/>
                <w:color w:val="000000"/>
                <w:sz w:val="22"/>
                <w:lang w:eastAsia="zh-CN"/>
              </w:rPr>
            </w:pPr>
            <w:r>
              <w:rPr>
                <w:rFonts w:hint="eastAsia" w:ascii="Times New Roman" w:hAnsi="Times New Roman" w:eastAsia="仿宋_GB2312" w:cs="Times New Roman"/>
                <w:color w:val="000000"/>
                <w:sz w:val="22"/>
                <w:lang w:eastAsia="zh-CN"/>
              </w:rPr>
              <w:t>十一、城乡社区支出</w:t>
            </w:r>
          </w:p>
        </w:tc>
        <w:tc>
          <w:tcPr>
            <w:tcW w:w="7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21</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 xml:space="preserve">     0.36</w:t>
            </w:r>
          </w:p>
        </w:tc>
      </w:tr>
      <w:tr>
        <w:tblPrEx>
          <w:tblLayout w:type="fixed"/>
          <w:tblCellMar>
            <w:top w:w="0" w:type="dxa"/>
            <w:left w:w="108" w:type="dxa"/>
            <w:bottom w:w="0" w:type="dxa"/>
            <w:right w:w="108" w:type="dxa"/>
          </w:tblCellMar>
        </w:tblPrEx>
        <w:trPr>
          <w:trHeight w:val="340" w:hRule="exact"/>
          <w:jc w:val="center"/>
        </w:trPr>
        <w:tc>
          <w:tcPr>
            <w:tcW w:w="53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0"/>
                <w:szCs w:val="20"/>
              </w:rPr>
            </w:pPr>
          </w:p>
        </w:tc>
        <w:tc>
          <w:tcPr>
            <w:tcW w:w="7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c>
          <w:tcPr>
            <w:tcW w:w="45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0"/>
                <w:szCs w:val="20"/>
              </w:rPr>
            </w:pPr>
          </w:p>
        </w:tc>
        <w:tc>
          <w:tcPr>
            <w:tcW w:w="7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22</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b/>
                <w:color w:val="000000"/>
                <w:sz w:val="22"/>
              </w:rPr>
            </w:pPr>
          </w:p>
        </w:tc>
      </w:tr>
      <w:tr>
        <w:tblPrEx>
          <w:tblLayout w:type="fixed"/>
          <w:tblCellMar>
            <w:top w:w="0" w:type="dxa"/>
            <w:left w:w="108" w:type="dxa"/>
            <w:bottom w:w="0" w:type="dxa"/>
            <w:right w:w="108" w:type="dxa"/>
          </w:tblCellMar>
        </w:tblPrEx>
        <w:trPr>
          <w:trHeight w:val="340" w:hRule="exact"/>
          <w:jc w:val="center"/>
        </w:trPr>
        <w:tc>
          <w:tcPr>
            <w:tcW w:w="53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本年收入合计</w:t>
            </w:r>
          </w:p>
        </w:tc>
        <w:tc>
          <w:tcPr>
            <w:tcW w:w="7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94.00</w:t>
            </w:r>
          </w:p>
        </w:tc>
        <w:tc>
          <w:tcPr>
            <w:tcW w:w="45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本年支出合计</w:t>
            </w:r>
          </w:p>
        </w:tc>
        <w:tc>
          <w:tcPr>
            <w:tcW w:w="7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23</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880" w:firstLineChars="400"/>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94.00</w:t>
            </w:r>
          </w:p>
        </w:tc>
      </w:tr>
      <w:tr>
        <w:tblPrEx>
          <w:tblLayout w:type="fixed"/>
          <w:tblCellMar>
            <w:top w:w="0" w:type="dxa"/>
            <w:left w:w="108" w:type="dxa"/>
            <w:bottom w:w="0" w:type="dxa"/>
            <w:right w:w="108" w:type="dxa"/>
          </w:tblCellMar>
        </w:tblPrEx>
        <w:trPr>
          <w:trHeight w:val="340" w:hRule="exact"/>
          <w:jc w:val="center"/>
        </w:trPr>
        <w:tc>
          <w:tcPr>
            <w:tcW w:w="53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使用非财政拨款结余（含专用结余）</w:t>
            </w:r>
          </w:p>
        </w:tc>
        <w:tc>
          <w:tcPr>
            <w:tcW w:w="7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c>
          <w:tcPr>
            <w:tcW w:w="45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结余分配</w:t>
            </w:r>
          </w:p>
        </w:tc>
        <w:tc>
          <w:tcPr>
            <w:tcW w:w="7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24</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p>
        </w:tc>
      </w:tr>
      <w:tr>
        <w:tblPrEx>
          <w:tblLayout w:type="fixed"/>
          <w:tblCellMar>
            <w:top w:w="0" w:type="dxa"/>
            <w:left w:w="108" w:type="dxa"/>
            <w:bottom w:w="0" w:type="dxa"/>
            <w:right w:w="108" w:type="dxa"/>
          </w:tblCellMar>
        </w:tblPrEx>
        <w:trPr>
          <w:trHeight w:val="340" w:hRule="exact"/>
          <w:jc w:val="center"/>
        </w:trPr>
        <w:tc>
          <w:tcPr>
            <w:tcW w:w="53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年初结转和结余</w:t>
            </w:r>
          </w:p>
        </w:tc>
        <w:tc>
          <w:tcPr>
            <w:tcW w:w="7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c>
          <w:tcPr>
            <w:tcW w:w="45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年末结转和结余</w:t>
            </w:r>
          </w:p>
        </w:tc>
        <w:tc>
          <w:tcPr>
            <w:tcW w:w="7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25</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p>
        </w:tc>
      </w:tr>
      <w:tr>
        <w:tblPrEx>
          <w:tblLayout w:type="fixed"/>
          <w:tblCellMar>
            <w:top w:w="0" w:type="dxa"/>
            <w:left w:w="108" w:type="dxa"/>
            <w:bottom w:w="0" w:type="dxa"/>
            <w:right w:w="108" w:type="dxa"/>
          </w:tblCellMar>
        </w:tblPrEx>
        <w:trPr>
          <w:trHeight w:val="340" w:hRule="exact"/>
          <w:jc w:val="center"/>
        </w:trPr>
        <w:tc>
          <w:tcPr>
            <w:tcW w:w="53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7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13</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94.00</w:t>
            </w:r>
          </w:p>
        </w:tc>
        <w:tc>
          <w:tcPr>
            <w:tcW w:w="45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7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26</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1104" w:firstLineChars="500"/>
              <w:rPr>
                <w:rFonts w:hint="default" w:ascii="Times New Roman" w:hAnsi="Times New Roman" w:eastAsia="仿宋_GB2312" w:cs="Times New Roman"/>
                <w:b/>
                <w:color w:val="000000"/>
                <w:sz w:val="22"/>
                <w:lang w:val="en-US" w:eastAsia="zh-CN"/>
              </w:rPr>
            </w:pPr>
            <w:r>
              <w:rPr>
                <w:rFonts w:hint="eastAsia" w:ascii="Times New Roman" w:hAnsi="Times New Roman" w:eastAsia="仿宋_GB2312" w:cs="Times New Roman"/>
                <w:b/>
                <w:color w:val="000000"/>
                <w:sz w:val="22"/>
                <w:lang w:val="en-US" w:eastAsia="zh-CN"/>
              </w:rPr>
              <w:t>94.00</w:t>
            </w:r>
          </w:p>
        </w:tc>
      </w:tr>
    </w:tbl>
    <w:p>
      <w:pPr>
        <w:widowControl/>
        <w:jc w:val="left"/>
        <w:textAlignment w:val="center"/>
        <w:rPr>
          <w:rFonts w:ascii="Times New Roman" w:hAnsi="Times New Roman" w:eastAsia="宋体" w:cs="Times New Roman"/>
          <w:color w:val="000000"/>
          <w:kern w:val="0"/>
          <w:sz w:val="24"/>
          <w:szCs w:val="24"/>
          <w:lang w:bidi="ar"/>
        </w:rPr>
      </w:pPr>
    </w:p>
    <w:p>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注：1.本表反映部门本年度的总收支和年末结转结余情况。</w:t>
      </w:r>
      <w:r>
        <w:rPr>
          <w:rFonts w:ascii="Times New Roman" w:hAnsi="Times New Roman" w:eastAsia="仿宋_GB2312" w:cs="Times New Roman"/>
          <w:color w:val="000000"/>
          <w:kern w:val="0"/>
          <w:sz w:val="24"/>
          <w:szCs w:val="24"/>
          <w:lang w:bidi="ar"/>
        </w:rPr>
        <w:br w:type="textWrapping"/>
      </w:r>
      <w:r>
        <w:rPr>
          <w:rFonts w:ascii="Times New Roman" w:hAnsi="Times New Roman" w:eastAsia="仿宋_GB2312" w:cs="Times New Roman"/>
          <w:color w:val="000000"/>
          <w:kern w:val="0"/>
          <w:sz w:val="24"/>
          <w:szCs w:val="24"/>
          <w:lang w:bidi="ar"/>
        </w:rPr>
        <w:t xml:space="preserve">    2.本套报表金额单位转换时可能存在尾数误差。</w:t>
      </w:r>
    </w:p>
    <w:p>
      <w:pP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p>
      <w:pPr>
        <w:widowControl/>
        <w:spacing w:line="400" w:lineRule="exact"/>
        <w:jc w:val="center"/>
        <w:textAlignment w:val="center"/>
        <w:rPr>
          <w:rFonts w:ascii="Times New Roman" w:hAnsi="Times New Roman" w:eastAsia="黑体" w:cs="Times New Roman"/>
          <w:color w:val="000000"/>
          <w:kern w:val="0"/>
          <w:sz w:val="32"/>
          <w:szCs w:val="32"/>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收入决算表</w:t>
      </w:r>
    </w:p>
    <w:p>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hint="eastAsia" w:ascii="Times New Roman" w:hAnsi="Times New Roman" w:eastAsia="仿宋_GB2312" w:cs="Times New Roman"/>
          <w:color w:val="000000"/>
          <w:sz w:val="20"/>
          <w:szCs w:val="20"/>
          <w:lang w:eastAsia="zh-CN"/>
        </w:rPr>
        <w:t>蓝山县民兵训练基地管理中心</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单位：万元</w:t>
      </w:r>
    </w:p>
    <w:tbl>
      <w:tblPr>
        <w:tblStyle w:val="11"/>
        <w:tblW w:w="14666" w:type="dxa"/>
        <w:jc w:val="center"/>
        <w:tblInd w:w="0" w:type="dxa"/>
        <w:tblLayout w:type="fixed"/>
        <w:tblCellMar>
          <w:top w:w="0" w:type="dxa"/>
          <w:left w:w="0" w:type="dxa"/>
          <w:bottom w:w="0" w:type="dxa"/>
          <w:right w:w="0" w:type="dxa"/>
        </w:tblCellMar>
      </w:tblPr>
      <w:tblGrid>
        <w:gridCol w:w="1886"/>
        <w:gridCol w:w="1300"/>
        <w:gridCol w:w="1640"/>
        <w:gridCol w:w="1640"/>
        <w:gridCol w:w="1640"/>
        <w:gridCol w:w="1640"/>
        <w:gridCol w:w="1640"/>
        <w:gridCol w:w="1897"/>
        <w:gridCol w:w="1383"/>
      </w:tblGrid>
      <w:tr>
        <w:tblPrEx>
          <w:tblLayout w:type="fixed"/>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64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8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tblPrEx>
          <w:tblLayout w:type="fixed"/>
          <w:tblCellMar>
            <w:top w:w="0" w:type="dxa"/>
            <w:left w:w="0" w:type="dxa"/>
            <w:bottom w:w="0" w:type="dxa"/>
            <w:right w:w="0" w:type="dxa"/>
          </w:tblCellMar>
        </w:tblPrEx>
        <w:trPr>
          <w:trHeight w:val="334" w:hRule="exact"/>
          <w:jc w:val="center"/>
        </w:trPr>
        <w:tc>
          <w:tcPr>
            <w:tcW w:w="188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130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r>
      <w:tr>
        <w:tblPrEx>
          <w:tblLayout w:type="fixed"/>
          <w:tblCellMar>
            <w:top w:w="0" w:type="dxa"/>
            <w:left w:w="0" w:type="dxa"/>
            <w:bottom w:w="0" w:type="dxa"/>
            <w:right w:w="0" w:type="dxa"/>
          </w:tblCellMar>
        </w:tblPrEx>
        <w:trPr>
          <w:trHeight w:val="312" w:hRule="atLeast"/>
          <w:jc w:val="center"/>
        </w:trPr>
        <w:tc>
          <w:tcPr>
            <w:tcW w:w="1886"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300" w:type="dxa"/>
            <w:vMerge w:val="continue"/>
            <w:tcBorders>
              <w:top w:val="nil"/>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r>
      <w:tr>
        <w:tblPrEx>
          <w:tblLayout w:type="fixed"/>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640"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640"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640"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640"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640"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897"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383"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tblPrEx>
          <w:tblLayout w:type="fixed"/>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94.00</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94.00</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tblPrEx>
          <w:tblLayout w:type="fixed"/>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rPr>
                <w:rFonts w:hint="default" w:ascii="Times New Roman" w:hAnsi="Times New Roman" w:eastAsia="仿宋_GB2312" w:cs="Times New Roman"/>
                <w:sz w:val="24"/>
                <w:szCs w:val="24"/>
                <w:lang w:val="en-US" w:eastAsia="zh-CN"/>
              </w:rPr>
            </w:pPr>
            <w:r>
              <w:rPr>
                <w:rFonts w:ascii="Times New Roman" w:hAnsi="Times New Roman" w:eastAsia="仿宋_GB2312" w:cs="Times New Roman"/>
              </w:rPr>
              <w:t>　</w:t>
            </w:r>
            <w:r>
              <w:rPr>
                <w:rFonts w:hint="eastAsia" w:ascii="Times New Roman" w:hAnsi="Times New Roman" w:eastAsia="仿宋_GB2312" w:cs="Times New Roman"/>
                <w:lang w:val="en-US" w:eastAsia="zh-CN"/>
              </w:rPr>
              <w:t>2019999</w:t>
            </w:r>
          </w:p>
        </w:tc>
        <w:tc>
          <w:tcPr>
            <w:tcW w:w="1300"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pPr>
              <w:rPr>
                <w:rFonts w:hint="eastAsia" w:ascii="Times New Roman" w:hAnsi="Times New Roman" w:eastAsia="仿宋_GB2312" w:cs="Times New Roman"/>
                <w:sz w:val="24"/>
                <w:szCs w:val="24"/>
                <w:lang w:eastAsia="zh-CN"/>
              </w:rPr>
            </w:pPr>
            <w:r>
              <w:rPr>
                <w:rFonts w:ascii="Times New Roman" w:hAnsi="Times New Roman" w:eastAsia="仿宋_GB2312" w:cs="Times New Roman"/>
              </w:rPr>
              <w:t>　</w:t>
            </w:r>
            <w:r>
              <w:rPr>
                <w:rFonts w:hint="eastAsia" w:ascii="Times New Roman" w:hAnsi="Times New Roman" w:eastAsia="仿宋_GB2312" w:cs="Times New Roman"/>
                <w:lang w:eastAsia="zh-CN"/>
              </w:rPr>
              <w:t>其他一般公共服务支出</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89.41</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89.41</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tblPrEx>
          <w:tblLayout w:type="fixed"/>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rPr>
                <w:rFonts w:hint="default" w:ascii="Times New Roman" w:hAnsi="Times New Roman" w:eastAsia="仿宋_GB2312" w:cs="Times New Roman"/>
                <w:sz w:val="24"/>
                <w:szCs w:val="24"/>
                <w:lang w:val="en-US" w:eastAsia="zh-CN"/>
              </w:rPr>
            </w:pPr>
            <w:r>
              <w:rPr>
                <w:rFonts w:ascii="Times New Roman" w:hAnsi="Times New Roman" w:eastAsia="仿宋_GB2312" w:cs="Times New Roman"/>
              </w:rPr>
              <w:t>　</w:t>
            </w:r>
            <w:r>
              <w:rPr>
                <w:rFonts w:hint="eastAsia" w:ascii="Times New Roman" w:hAnsi="Times New Roman" w:eastAsia="仿宋_GB2312" w:cs="Times New Roman"/>
                <w:lang w:val="en-US" w:eastAsia="zh-CN"/>
              </w:rPr>
              <w:t>2080505</w:t>
            </w:r>
          </w:p>
        </w:tc>
        <w:tc>
          <w:tcPr>
            <w:tcW w:w="1300"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pPr>
              <w:rPr>
                <w:rFonts w:ascii="Times New Roman" w:hAnsi="Times New Roman" w:eastAsia="仿宋_GB2312" w:cs="Times New Roman"/>
                <w:sz w:val="24"/>
                <w:szCs w:val="24"/>
              </w:rPr>
            </w:pPr>
            <w:r>
              <w:rPr>
                <w:rFonts w:hint="eastAsia" w:ascii="Times New Roman" w:hAnsi="Times New Roman" w:eastAsia="仿宋_GB2312" w:cs="Times New Roman"/>
                <w:lang w:eastAsia="zh-CN"/>
              </w:rPr>
              <w:t>机关事业单位基本养老保险缴费支出</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3.43</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3.43</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tblPrEx>
          <w:tblLayout w:type="fixed"/>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rPr>
                <w:rFonts w:hint="default" w:ascii="Times New Roman" w:hAnsi="Times New Roman" w:eastAsia="仿宋_GB2312" w:cs="Times New Roman"/>
                <w:sz w:val="24"/>
                <w:szCs w:val="24"/>
                <w:lang w:val="en-US" w:eastAsia="zh-CN"/>
              </w:rPr>
            </w:pPr>
            <w:r>
              <w:rPr>
                <w:rFonts w:ascii="Times New Roman" w:hAnsi="Times New Roman" w:eastAsia="仿宋_GB2312" w:cs="Times New Roman"/>
              </w:rPr>
              <w:t>　</w:t>
            </w:r>
            <w:r>
              <w:rPr>
                <w:rFonts w:hint="eastAsia" w:ascii="Times New Roman" w:hAnsi="Times New Roman" w:eastAsia="仿宋_GB2312" w:cs="Times New Roman"/>
                <w:lang w:val="en-US" w:eastAsia="zh-CN"/>
              </w:rPr>
              <w:t>2101102</w:t>
            </w:r>
          </w:p>
        </w:tc>
        <w:tc>
          <w:tcPr>
            <w:tcW w:w="1300"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pPr>
              <w:rPr>
                <w:rFonts w:hint="eastAsia" w:ascii="Times New Roman" w:hAnsi="Times New Roman" w:eastAsia="仿宋_GB2312" w:cs="Times New Roman"/>
                <w:sz w:val="24"/>
                <w:szCs w:val="24"/>
                <w:lang w:eastAsia="zh-CN"/>
              </w:rPr>
            </w:pPr>
            <w:r>
              <w:rPr>
                <w:rFonts w:ascii="Times New Roman" w:hAnsi="Times New Roman" w:eastAsia="仿宋_GB2312" w:cs="Times New Roman"/>
              </w:rPr>
              <w:t>　</w:t>
            </w:r>
            <w:r>
              <w:rPr>
                <w:rFonts w:hint="eastAsia" w:ascii="Times New Roman" w:hAnsi="Times New Roman" w:eastAsia="仿宋_GB2312" w:cs="Times New Roman"/>
                <w:lang w:eastAsia="zh-CN"/>
              </w:rPr>
              <w:t>事业单位医疗</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0.80</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0.80</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tblPrEx>
          <w:tblLayout w:type="fixed"/>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rPr>
                <w:rFonts w:hint="default" w:ascii="Times New Roman" w:hAnsi="Times New Roman" w:eastAsia="仿宋_GB2312" w:cs="Times New Roman"/>
                <w:sz w:val="24"/>
                <w:szCs w:val="24"/>
                <w:lang w:val="en-US" w:eastAsia="zh-CN"/>
              </w:rPr>
            </w:pPr>
            <w:r>
              <w:rPr>
                <w:rFonts w:ascii="Times New Roman" w:hAnsi="Times New Roman" w:eastAsia="仿宋_GB2312" w:cs="Times New Roman"/>
              </w:rPr>
              <w:t>　</w:t>
            </w:r>
            <w:r>
              <w:rPr>
                <w:rFonts w:hint="eastAsia" w:ascii="Times New Roman" w:hAnsi="Times New Roman" w:eastAsia="仿宋_GB2312" w:cs="Times New Roman"/>
                <w:lang w:val="en-US" w:eastAsia="zh-CN"/>
              </w:rPr>
              <w:t>2120199</w:t>
            </w:r>
          </w:p>
        </w:tc>
        <w:tc>
          <w:tcPr>
            <w:tcW w:w="1300"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pPr>
              <w:rPr>
                <w:rFonts w:ascii="Times New Roman" w:hAnsi="Times New Roman" w:eastAsia="仿宋_GB2312" w:cs="Times New Roman"/>
                <w:sz w:val="24"/>
                <w:szCs w:val="24"/>
              </w:rPr>
            </w:pPr>
            <w:r>
              <w:rPr>
                <w:rFonts w:hint="eastAsia" w:ascii="Times New Roman" w:hAnsi="Times New Roman" w:eastAsia="仿宋_GB2312" w:cs="Times New Roman"/>
                <w:lang w:eastAsia="zh-CN"/>
              </w:rPr>
              <w:t>其他城乡社区管理事务支出</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0.36</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0.36</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tblPrEx>
          <w:tblLayout w:type="fixed"/>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300"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tblPrEx>
          <w:tblLayout w:type="fixed"/>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300"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bl>
    <w:p>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pPr>
        <w:widowControl/>
        <w:jc w:val="center"/>
        <w:textAlignment w:val="center"/>
        <w:rPr>
          <w:rFonts w:ascii="Times New Roman" w:hAnsi="Times New Roman" w:eastAsia="黑体" w:cs="Times New Roman"/>
          <w:color w:val="000000"/>
          <w:kern w:val="0"/>
          <w:sz w:val="32"/>
          <w:szCs w:val="32"/>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支出决算表</w:t>
      </w:r>
    </w:p>
    <w:p>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eastAsia="zh-CN"/>
        </w:rPr>
        <w:t>蓝山县民兵训练基地管理中心</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11"/>
        <w:tblW w:w="14214" w:type="dxa"/>
        <w:jc w:val="center"/>
        <w:tblInd w:w="0" w:type="dxa"/>
        <w:tblLayout w:type="fixed"/>
        <w:tblCellMar>
          <w:top w:w="0" w:type="dxa"/>
          <w:left w:w="108" w:type="dxa"/>
          <w:bottom w:w="0" w:type="dxa"/>
          <w:right w:w="108" w:type="dxa"/>
        </w:tblCellMar>
      </w:tblPr>
      <w:tblGrid>
        <w:gridCol w:w="2035"/>
        <w:gridCol w:w="4056"/>
        <w:gridCol w:w="1488"/>
        <w:gridCol w:w="945"/>
        <w:gridCol w:w="946"/>
        <w:gridCol w:w="1489"/>
        <w:gridCol w:w="946"/>
        <w:gridCol w:w="2309"/>
      </w:tblGrid>
      <w:tr>
        <w:tblPrEx>
          <w:tblLayout w:type="fixed"/>
          <w:tblCellMar>
            <w:top w:w="0" w:type="dxa"/>
            <w:left w:w="108" w:type="dxa"/>
            <w:bottom w:w="0" w:type="dxa"/>
            <w:right w:w="108" w:type="dxa"/>
          </w:tblCellMar>
        </w:tblPrEx>
        <w:trPr>
          <w:trHeight w:val="595" w:hRule="atLeast"/>
          <w:jc w:val="center"/>
        </w:trPr>
        <w:tc>
          <w:tcPr>
            <w:tcW w:w="6091"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148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94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94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148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94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230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tblPrEx>
          <w:tblLayout w:type="fixed"/>
          <w:tblCellMar>
            <w:top w:w="0" w:type="dxa"/>
            <w:left w:w="108" w:type="dxa"/>
            <w:bottom w:w="0" w:type="dxa"/>
            <w:right w:w="108" w:type="dxa"/>
          </w:tblCellMar>
        </w:tblPrEx>
        <w:trPr>
          <w:trHeight w:val="312" w:hRule="exact"/>
          <w:jc w:val="center"/>
        </w:trPr>
        <w:tc>
          <w:tcPr>
            <w:tcW w:w="203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4056" w:type="dxa"/>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148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94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9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148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9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23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r>
      <w:tr>
        <w:tblPrEx>
          <w:tblLayout w:type="fixed"/>
          <w:tblCellMar>
            <w:top w:w="0" w:type="dxa"/>
            <w:left w:w="108" w:type="dxa"/>
            <w:bottom w:w="0" w:type="dxa"/>
            <w:right w:w="108" w:type="dxa"/>
          </w:tblCellMar>
        </w:tblPrEx>
        <w:trPr>
          <w:trHeight w:val="595" w:hRule="atLeast"/>
          <w:jc w:val="center"/>
        </w:trPr>
        <w:tc>
          <w:tcPr>
            <w:tcW w:w="20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4056"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148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94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9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148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9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23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r>
      <w:tr>
        <w:tblPrEx>
          <w:tblLayout w:type="fixed"/>
          <w:tblCellMar>
            <w:top w:w="0" w:type="dxa"/>
            <w:left w:w="108" w:type="dxa"/>
            <w:bottom w:w="0" w:type="dxa"/>
            <w:right w:w="108" w:type="dxa"/>
          </w:tblCellMar>
        </w:tblPrEx>
        <w:trPr>
          <w:trHeight w:val="595" w:hRule="atLeast"/>
          <w:jc w:val="center"/>
        </w:trPr>
        <w:tc>
          <w:tcPr>
            <w:tcW w:w="6091"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1488" w:type="dxa"/>
            <w:tcBorders>
              <w:top w:val="nil"/>
              <w:left w:val="nil"/>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945" w:type="dxa"/>
            <w:tcBorders>
              <w:top w:val="nil"/>
              <w:left w:val="nil"/>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946" w:type="dxa"/>
            <w:tcBorders>
              <w:top w:val="nil"/>
              <w:left w:val="nil"/>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1489" w:type="dxa"/>
            <w:tcBorders>
              <w:top w:val="nil"/>
              <w:left w:val="nil"/>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946" w:type="dxa"/>
            <w:tcBorders>
              <w:top w:val="nil"/>
              <w:left w:val="nil"/>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2309" w:type="dxa"/>
            <w:tcBorders>
              <w:top w:val="nil"/>
              <w:left w:val="nil"/>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tblPrEx>
          <w:tblLayout w:type="fixed"/>
          <w:tblCellMar>
            <w:top w:w="0" w:type="dxa"/>
            <w:left w:w="108" w:type="dxa"/>
            <w:bottom w:w="0" w:type="dxa"/>
            <w:right w:w="108" w:type="dxa"/>
          </w:tblCellMar>
        </w:tblPrEx>
        <w:trPr>
          <w:trHeight w:val="595" w:hRule="atLeast"/>
          <w:jc w:val="center"/>
        </w:trPr>
        <w:tc>
          <w:tcPr>
            <w:tcW w:w="6091"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1488"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94.00</w:t>
            </w:r>
            <w:r>
              <w:rPr>
                <w:rFonts w:ascii="Times New Roman" w:hAnsi="Times New Roman" w:eastAsia="仿宋_GB2312" w:cs="Times New Roman"/>
                <w:kern w:val="0"/>
                <w:sz w:val="24"/>
                <w:szCs w:val="24"/>
              </w:rPr>
              <w:t>　</w:t>
            </w:r>
          </w:p>
        </w:tc>
        <w:tc>
          <w:tcPr>
            <w:tcW w:w="945"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45.39</w:t>
            </w:r>
            <w:r>
              <w:rPr>
                <w:rFonts w:ascii="Times New Roman" w:hAnsi="Times New Roman" w:eastAsia="仿宋_GB2312" w:cs="Times New Roman"/>
                <w:kern w:val="0"/>
                <w:sz w:val="24"/>
                <w:szCs w:val="24"/>
              </w:rPr>
              <w:t>　</w:t>
            </w:r>
          </w:p>
        </w:tc>
        <w:tc>
          <w:tcPr>
            <w:tcW w:w="946"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48.61</w:t>
            </w:r>
            <w:r>
              <w:rPr>
                <w:rFonts w:ascii="Times New Roman" w:hAnsi="Times New Roman" w:eastAsia="仿宋_GB2312" w:cs="Times New Roman"/>
                <w:kern w:val="0"/>
                <w:sz w:val="24"/>
                <w:szCs w:val="24"/>
              </w:rPr>
              <w:t>　</w:t>
            </w:r>
          </w:p>
        </w:tc>
        <w:tc>
          <w:tcPr>
            <w:tcW w:w="1489"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6"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2309"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tblPrEx>
          <w:tblLayout w:type="fixed"/>
          <w:tblCellMar>
            <w:top w:w="0" w:type="dxa"/>
            <w:left w:w="108" w:type="dxa"/>
            <w:bottom w:w="0" w:type="dxa"/>
            <w:right w:w="108" w:type="dxa"/>
          </w:tblCellMar>
        </w:tblPrEx>
        <w:trPr>
          <w:trHeight w:val="595" w:hRule="atLeast"/>
          <w:jc w:val="center"/>
        </w:trPr>
        <w:tc>
          <w:tcPr>
            <w:tcW w:w="2035"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2019999</w:t>
            </w:r>
            <w:r>
              <w:rPr>
                <w:rFonts w:ascii="Times New Roman" w:hAnsi="Times New Roman" w:eastAsia="仿宋_GB2312" w:cs="Times New Roman"/>
                <w:kern w:val="0"/>
                <w:sz w:val="24"/>
                <w:szCs w:val="24"/>
              </w:rPr>
              <w:t>　</w:t>
            </w:r>
          </w:p>
        </w:tc>
        <w:tc>
          <w:tcPr>
            <w:tcW w:w="4056" w:type="dxa"/>
            <w:tcBorders>
              <w:top w:val="nil"/>
              <w:left w:val="nil"/>
              <w:bottom w:val="single" w:color="auto" w:sz="4" w:space="0"/>
              <w:right w:val="single" w:color="auto" w:sz="4" w:space="0"/>
            </w:tcBorders>
            <w:shd w:val="clear" w:color="000000" w:fill="FFFFFF"/>
            <w:vAlign w:val="center"/>
          </w:tcPr>
          <w:p>
            <w:pPr>
              <w:widowControl/>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eastAsia="zh-CN"/>
              </w:rPr>
              <w:t>其他一般公共服务支出</w:t>
            </w:r>
            <w:r>
              <w:rPr>
                <w:rFonts w:ascii="Times New Roman" w:hAnsi="Times New Roman" w:eastAsia="仿宋_GB2312" w:cs="Times New Roman"/>
                <w:kern w:val="0"/>
                <w:sz w:val="24"/>
                <w:szCs w:val="24"/>
              </w:rPr>
              <w:t>　</w:t>
            </w:r>
          </w:p>
        </w:tc>
        <w:tc>
          <w:tcPr>
            <w:tcW w:w="1488"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89.41</w:t>
            </w:r>
            <w:r>
              <w:rPr>
                <w:rFonts w:ascii="Times New Roman" w:hAnsi="Times New Roman" w:eastAsia="仿宋_GB2312" w:cs="Times New Roman"/>
                <w:kern w:val="0"/>
                <w:sz w:val="24"/>
                <w:szCs w:val="24"/>
              </w:rPr>
              <w:t>　</w:t>
            </w:r>
          </w:p>
        </w:tc>
        <w:tc>
          <w:tcPr>
            <w:tcW w:w="945"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40.80</w:t>
            </w:r>
            <w:r>
              <w:rPr>
                <w:rFonts w:ascii="Times New Roman" w:hAnsi="Times New Roman" w:eastAsia="仿宋_GB2312" w:cs="Times New Roman"/>
                <w:kern w:val="0"/>
                <w:sz w:val="24"/>
                <w:szCs w:val="24"/>
              </w:rPr>
              <w:t>　</w:t>
            </w:r>
          </w:p>
        </w:tc>
        <w:tc>
          <w:tcPr>
            <w:tcW w:w="946"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48.61</w:t>
            </w:r>
            <w:r>
              <w:rPr>
                <w:rFonts w:ascii="Times New Roman" w:hAnsi="Times New Roman" w:eastAsia="仿宋_GB2312" w:cs="Times New Roman"/>
                <w:kern w:val="0"/>
                <w:sz w:val="24"/>
                <w:szCs w:val="24"/>
              </w:rPr>
              <w:t>　</w:t>
            </w:r>
          </w:p>
        </w:tc>
        <w:tc>
          <w:tcPr>
            <w:tcW w:w="1489"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6"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2309"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tblPrEx>
          <w:tblLayout w:type="fixed"/>
          <w:tblCellMar>
            <w:top w:w="0" w:type="dxa"/>
            <w:left w:w="108" w:type="dxa"/>
            <w:bottom w:w="0" w:type="dxa"/>
            <w:right w:w="108" w:type="dxa"/>
          </w:tblCellMar>
        </w:tblPrEx>
        <w:trPr>
          <w:trHeight w:val="595" w:hRule="atLeast"/>
          <w:jc w:val="center"/>
        </w:trPr>
        <w:tc>
          <w:tcPr>
            <w:tcW w:w="2035"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left"/>
              <w:rPr>
                <w:rFonts w:hint="default" w:ascii="Times New Roman" w:hAnsi="Times New Roman" w:eastAsia="仿宋_GB2312" w:cs="Times New Roman"/>
                <w:kern w:val="0"/>
                <w:sz w:val="24"/>
                <w:szCs w:val="24"/>
                <w:lang w:val="en-US" w:eastAsia="zh-CN"/>
              </w:rPr>
            </w:pPr>
            <w:r>
              <w:rPr>
                <w:rFonts w:ascii="Times New Roman" w:hAnsi="Times New Roman" w:eastAsia="仿宋_GB2312" w:cs="Times New Roman"/>
                <w:kern w:val="0"/>
                <w:sz w:val="24"/>
                <w:szCs w:val="24"/>
              </w:rPr>
              <w:t>　</w:t>
            </w:r>
            <w:r>
              <w:rPr>
                <w:rFonts w:hint="eastAsia" w:ascii="Times New Roman" w:hAnsi="Times New Roman" w:eastAsia="仿宋_GB2312" w:cs="Times New Roman"/>
                <w:kern w:val="0"/>
                <w:sz w:val="24"/>
                <w:szCs w:val="24"/>
                <w:lang w:val="en-US" w:eastAsia="zh-CN"/>
              </w:rPr>
              <w:t>2080505</w:t>
            </w:r>
          </w:p>
        </w:tc>
        <w:tc>
          <w:tcPr>
            <w:tcW w:w="4056" w:type="dxa"/>
            <w:tcBorders>
              <w:top w:val="nil"/>
              <w:left w:val="nil"/>
              <w:bottom w:val="single" w:color="auto" w:sz="4" w:space="0"/>
              <w:right w:val="single" w:color="auto" w:sz="4" w:space="0"/>
            </w:tcBorders>
            <w:shd w:val="clear" w:color="000000" w:fill="FFFFFF"/>
            <w:vAlign w:val="center"/>
          </w:tcPr>
          <w:p>
            <w:pPr>
              <w:widowControl/>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eastAsia="zh-CN"/>
              </w:rPr>
              <w:t>机关事业单位基本养老保险缴费支出</w:t>
            </w:r>
            <w:r>
              <w:rPr>
                <w:rFonts w:ascii="Times New Roman" w:hAnsi="Times New Roman" w:eastAsia="仿宋_GB2312" w:cs="Times New Roman"/>
                <w:kern w:val="0"/>
                <w:sz w:val="24"/>
                <w:szCs w:val="24"/>
              </w:rPr>
              <w:t>　</w:t>
            </w:r>
          </w:p>
        </w:tc>
        <w:tc>
          <w:tcPr>
            <w:tcW w:w="1488"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3.43</w:t>
            </w:r>
            <w:r>
              <w:rPr>
                <w:rFonts w:ascii="Times New Roman" w:hAnsi="Times New Roman" w:eastAsia="仿宋_GB2312" w:cs="Times New Roman"/>
                <w:kern w:val="0"/>
                <w:sz w:val="24"/>
                <w:szCs w:val="24"/>
              </w:rPr>
              <w:t>　</w:t>
            </w:r>
          </w:p>
        </w:tc>
        <w:tc>
          <w:tcPr>
            <w:tcW w:w="945"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3.43</w:t>
            </w:r>
            <w:r>
              <w:rPr>
                <w:rFonts w:ascii="Times New Roman" w:hAnsi="Times New Roman" w:eastAsia="仿宋_GB2312" w:cs="Times New Roman"/>
                <w:kern w:val="0"/>
                <w:sz w:val="24"/>
                <w:szCs w:val="24"/>
              </w:rPr>
              <w:t>　</w:t>
            </w:r>
          </w:p>
        </w:tc>
        <w:tc>
          <w:tcPr>
            <w:tcW w:w="946"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489"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6"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2309"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tblPrEx>
          <w:tblLayout w:type="fixed"/>
          <w:tblCellMar>
            <w:top w:w="0" w:type="dxa"/>
            <w:left w:w="108" w:type="dxa"/>
            <w:bottom w:w="0" w:type="dxa"/>
            <w:right w:w="108" w:type="dxa"/>
          </w:tblCellMar>
        </w:tblPrEx>
        <w:trPr>
          <w:trHeight w:val="595" w:hRule="atLeast"/>
          <w:jc w:val="center"/>
        </w:trPr>
        <w:tc>
          <w:tcPr>
            <w:tcW w:w="2035"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left"/>
              <w:rPr>
                <w:rFonts w:hint="default" w:ascii="Times New Roman" w:hAnsi="Times New Roman" w:eastAsia="仿宋_GB2312" w:cs="Times New Roman"/>
                <w:kern w:val="0"/>
                <w:sz w:val="24"/>
                <w:szCs w:val="24"/>
                <w:lang w:val="en-US" w:eastAsia="zh-CN"/>
              </w:rPr>
            </w:pPr>
            <w:r>
              <w:rPr>
                <w:rFonts w:ascii="Times New Roman" w:hAnsi="Times New Roman" w:eastAsia="仿宋_GB2312" w:cs="Times New Roman"/>
                <w:kern w:val="0"/>
                <w:sz w:val="24"/>
                <w:szCs w:val="24"/>
              </w:rPr>
              <w:t>　</w:t>
            </w:r>
            <w:r>
              <w:rPr>
                <w:rFonts w:hint="eastAsia" w:ascii="Times New Roman" w:hAnsi="Times New Roman" w:eastAsia="仿宋_GB2312" w:cs="Times New Roman"/>
                <w:kern w:val="0"/>
                <w:sz w:val="24"/>
                <w:szCs w:val="24"/>
                <w:lang w:val="en-US" w:eastAsia="zh-CN"/>
              </w:rPr>
              <w:t>2101102</w:t>
            </w:r>
          </w:p>
        </w:tc>
        <w:tc>
          <w:tcPr>
            <w:tcW w:w="4056" w:type="dxa"/>
            <w:tcBorders>
              <w:top w:val="nil"/>
              <w:left w:val="nil"/>
              <w:bottom w:val="single" w:color="auto" w:sz="4" w:space="0"/>
              <w:right w:val="single" w:color="auto" w:sz="4" w:space="0"/>
            </w:tcBorders>
            <w:shd w:val="clear" w:color="000000" w:fill="FFFFFF"/>
            <w:vAlign w:val="center"/>
          </w:tcPr>
          <w:p>
            <w:pPr>
              <w:widowControl/>
              <w:jc w:val="left"/>
              <w:rPr>
                <w:rFonts w:hint="eastAsia" w:ascii="Times New Roman" w:hAnsi="Times New Roman" w:eastAsia="仿宋_GB2312" w:cs="Times New Roman"/>
                <w:kern w:val="0"/>
                <w:sz w:val="24"/>
                <w:szCs w:val="24"/>
                <w:lang w:eastAsia="zh-CN"/>
              </w:rPr>
            </w:pPr>
            <w:r>
              <w:rPr>
                <w:rFonts w:ascii="Times New Roman" w:hAnsi="Times New Roman" w:eastAsia="仿宋_GB2312" w:cs="Times New Roman"/>
                <w:kern w:val="0"/>
                <w:sz w:val="24"/>
                <w:szCs w:val="24"/>
              </w:rPr>
              <w:t>　</w:t>
            </w:r>
            <w:r>
              <w:rPr>
                <w:rFonts w:hint="eastAsia" w:ascii="Times New Roman" w:hAnsi="Times New Roman" w:eastAsia="仿宋_GB2312" w:cs="Times New Roman"/>
                <w:kern w:val="0"/>
                <w:sz w:val="24"/>
                <w:szCs w:val="24"/>
                <w:lang w:eastAsia="zh-CN"/>
              </w:rPr>
              <w:t>事业单位医疗</w:t>
            </w:r>
          </w:p>
        </w:tc>
        <w:tc>
          <w:tcPr>
            <w:tcW w:w="1488"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0.80</w:t>
            </w:r>
            <w:r>
              <w:rPr>
                <w:rFonts w:ascii="Times New Roman" w:hAnsi="Times New Roman" w:eastAsia="仿宋_GB2312" w:cs="Times New Roman"/>
                <w:kern w:val="0"/>
                <w:sz w:val="24"/>
                <w:szCs w:val="24"/>
              </w:rPr>
              <w:t>　</w:t>
            </w:r>
          </w:p>
        </w:tc>
        <w:tc>
          <w:tcPr>
            <w:tcW w:w="945"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0.80</w:t>
            </w:r>
            <w:r>
              <w:rPr>
                <w:rFonts w:ascii="Times New Roman" w:hAnsi="Times New Roman" w:eastAsia="仿宋_GB2312" w:cs="Times New Roman"/>
                <w:kern w:val="0"/>
                <w:sz w:val="24"/>
                <w:szCs w:val="24"/>
              </w:rPr>
              <w:t>　</w:t>
            </w:r>
          </w:p>
        </w:tc>
        <w:tc>
          <w:tcPr>
            <w:tcW w:w="946"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489"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6"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2309"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tblPrEx>
          <w:tblLayout w:type="fixed"/>
          <w:tblCellMar>
            <w:top w:w="0" w:type="dxa"/>
            <w:left w:w="108" w:type="dxa"/>
            <w:bottom w:w="0" w:type="dxa"/>
            <w:right w:w="108" w:type="dxa"/>
          </w:tblCellMar>
        </w:tblPrEx>
        <w:trPr>
          <w:trHeight w:val="595" w:hRule="atLeast"/>
          <w:jc w:val="center"/>
        </w:trPr>
        <w:tc>
          <w:tcPr>
            <w:tcW w:w="2035"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2120199</w:t>
            </w:r>
            <w:r>
              <w:rPr>
                <w:rFonts w:ascii="Times New Roman" w:hAnsi="Times New Roman" w:eastAsia="仿宋_GB2312" w:cs="Times New Roman"/>
                <w:kern w:val="0"/>
                <w:sz w:val="24"/>
                <w:szCs w:val="24"/>
              </w:rPr>
              <w:t>　</w:t>
            </w:r>
          </w:p>
        </w:tc>
        <w:tc>
          <w:tcPr>
            <w:tcW w:w="4056" w:type="dxa"/>
            <w:tcBorders>
              <w:top w:val="nil"/>
              <w:left w:val="nil"/>
              <w:bottom w:val="single" w:color="auto" w:sz="4" w:space="0"/>
              <w:right w:val="single" w:color="auto" w:sz="4" w:space="0"/>
            </w:tcBorders>
            <w:shd w:val="clear" w:color="000000" w:fill="FFFFFF"/>
            <w:vAlign w:val="center"/>
          </w:tcPr>
          <w:p>
            <w:pPr>
              <w:widowControl/>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eastAsia="zh-CN"/>
              </w:rPr>
              <w:t>其他城乡社区管理事务支出</w:t>
            </w:r>
            <w:r>
              <w:rPr>
                <w:rFonts w:ascii="Times New Roman" w:hAnsi="Times New Roman" w:eastAsia="仿宋_GB2312" w:cs="Times New Roman"/>
                <w:kern w:val="0"/>
                <w:sz w:val="24"/>
                <w:szCs w:val="24"/>
              </w:rPr>
              <w:t>　</w:t>
            </w:r>
          </w:p>
        </w:tc>
        <w:tc>
          <w:tcPr>
            <w:tcW w:w="1488"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0.36</w:t>
            </w:r>
            <w:r>
              <w:rPr>
                <w:rFonts w:ascii="Times New Roman" w:hAnsi="Times New Roman" w:eastAsia="仿宋_GB2312" w:cs="Times New Roman"/>
                <w:kern w:val="0"/>
                <w:sz w:val="24"/>
                <w:szCs w:val="24"/>
              </w:rPr>
              <w:t>　</w:t>
            </w:r>
          </w:p>
        </w:tc>
        <w:tc>
          <w:tcPr>
            <w:tcW w:w="945"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0.36</w:t>
            </w:r>
            <w:r>
              <w:rPr>
                <w:rFonts w:ascii="Times New Roman" w:hAnsi="Times New Roman" w:eastAsia="仿宋_GB2312" w:cs="Times New Roman"/>
                <w:kern w:val="0"/>
                <w:sz w:val="24"/>
                <w:szCs w:val="24"/>
              </w:rPr>
              <w:t>　</w:t>
            </w:r>
          </w:p>
        </w:tc>
        <w:tc>
          <w:tcPr>
            <w:tcW w:w="946"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489"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6"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2309"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tblPrEx>
          <w:tblLayout w:type="fixed"/>
          <w:tblCellMar>
            <w:top w:w="0" w:type="dxa"/>
            <w:left w:w="108" w:type="dxa"/>
            <w:bottom w:w="0" w:type="dxa"/>
            <w:right w:w="108" w:type="dxa"/>
          </w:tblCellMar>
        </w:tblPrEx>
        <w:trPr>
          <w:trHeight w:val="595" w:hRule="atLeast"/>
          <w:jc w:val="center"/>
        </w:trPr>
        <w:tc>
          <w:tcPr>
            <w:tcW w:w="2035"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056" w:type="dxa"/>
            <w:tcBorders>
              <w:top w:val="nil"/>
              <w:left w:val="nil"/>
              <w:bottom w:val="single" w:color="auto" w:sz="4" w:space="0"/>
              <w:right w:val="single" w:color="auto" w:sz="4" w:space="0"/>
            </w:tcBorders>
            <w:shd w:val="clear" w:color="000000" w:fill="FFFFFF"/>
            <w:vAlign w:val="center"/>
          </w:tcPr>
          <w:p>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488"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5"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6"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489"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6"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2309"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tblPrEx>
          <w:tblLayout w:type="fixed"/>
          <w:tblCellMar>
            <w:top w:w="0" w:type="dxa"/>
            <w:left w:w="108" w:type="dxa"/>
            <w:bottom w:w="0" w:type="dxa"/>
            <w:right w:w="108" w:type="dxa"/>
          </w:tblCellMar>
        </w:tblPrEx>
        <w:trPr>
          <w:trHeight w:val="595" w:hRule="atLeast"/>
          <w:jc w:val="center"/>
        </w:trPr>
        <w:tc>
          <w:tcPr>
            <w:tcW w:w="2035"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056" w:type="dxa"/>
            <w:tcBorders>
              <w:top w:val="nil"/>
              <w:left w:val="nil"/>
              <w:bottom w:val="single" w:color="auto" w:sz="4" w:space="0"/>
              <w:right w:val="single" w:color="auto" w:sz="4" w:space="0"/>
            </w:tcBorders>
            <w:shd w:val="clear" w:color="000000" w:fill="FFFFFF"/>
            <w:vAlign w:val="center"/>
          </w:tcPr>
          <w:p>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488"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5"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6"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489"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6"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2309"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bl>
    <w:p>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pPr>
        <w:widowControl/>
        <w:spacing w:line="400" w:lineRule="exact"/>
        <w:jc w:val="center"/>
        <w:textAlignment w:val="center"/>
        <w:rPr>
          <w:rFonts w:ascii="Times New Roman" w:hAnsi="Times New Roman" w:eastAsia="黑体" w:cs="Times New Roman"/>
          <w:color w:val="000000"/>
          <w:kern w:val="0"/>
          <w:sz w:val="32"/>
          <w:szCs w:val="32"/>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财政拨款收入支出决算总表</w:t>
      </w:r>
    </w:p>
    <w:p>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公开04表</w:t>
      </w:r>
    </w:p>
    <w:p>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eastAsia="zh-CN"/>
        </w:rPr>
        <w:t>蓝山县民兵训练基地管理中心</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11"/>
        <w:tblW w:w="14220" w:type="dxa"/>
        <w:jc w:val="center"/>
        <w:tblInd w:w="0" w:type="dxa"/>
        <w:tblLayout w:type="fixed"/>
        <w:tblCellMar>
          <w:top w:w="0" w:type="dxa"/>
          <w:left w:w="108" w:type="dxa"/>
          <w:bottom w:w="0" w:type="dxa"/>
          <w:right w:w="108" w:type="dxa"/>
        </w:tblCellMar>
      </w:tblPr>
      <w:tblGrid>
        <w:gridCol w:w="3516"/>
        <w:gridCol w:w="616"/>
        <w:gridCol w:w="711"/>
        <w:gridCol w:w="2636"/>
        <w:gridCol w:w="616"/>
        <w:gridCol w:w="711"/>
        <w:gridCol w:w="1787"/>
        <w:gridCol w:w="1749"/>
        <w:gridCol w:w="1878"/>
      </w:tblGrid>
      <w:tr>
        <w:tblPrEx>
          <w:tblLayout w:type="fixed"/>
          <w:tblCellMar>
            <w:top w:w="0" w:type="dxa"/>
            <w:left w:w="108" w:type="dxa"/>
            <w:bottom w:w="0" w:type="dxa"/>
            <w:right w:w="108" w:type="dxa"/>
          </w:tblCellMar>
        </w:tblPrEx>
        <w:trPr>
          <w:trHeight w:val="402" w:hRule="atLeast"/>
          <w:jc w:val="center"/>
        </w:trPr>
        <w:tc>
          <w:tcPr>
            <w:tcW w:w="4843"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9377" w:type="dxa"/>
            <w:gridSpan w:val="6"/>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tblPrEx>
          <w:tblLayout w:type="fixed"/>
          <w:tblCellMar>
            <w:top w:w="0" w:type="dxa"/>
            <w:left w:w="108" w:type="dxa"/>
            <w:bottom w:w="0" w:type="dxa"/>
            <w:right w:w="108" w:type="dxa"/>
          </w:tblCellMar>
        </w:tblPrEx>
        <w:trPr>
          <w:trHeight w:val="630"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71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263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71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178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1749"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187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71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263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71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178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1749"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187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711"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94.00</w:t>
            </w: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一、一般公共服务支出</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15</w:t>
            </w:r>
          </w:p>
        </w:tc>
        <w:tc>
          <w:tcPr>
            <w:tcW w:w="71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89.41</w:t>
            </w:r>
            <w:r>
              <w:rPr>
                <w:rFonts w:ascii="Times New Roman" w:hAnsi="Times New Roman" w:eastAsia="仿宋_GB2312" w:cs="Times New Roman"/>
                <w:kern w:val="0"/>
                <w:sz w:val="22"/>
              </w:rPr>
              <w:t>　</w:t>
            </w:r>
          </w:p>
        </w:tc>
        <w:tc>
          <w:tcPr>
            <w:tcW w:w="178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89.41</w:t>
            </w:r>
            <w:r>
              <w:rPr>
                <w:rFonts w:ascii="Times New Roman" w:hAnsi="Times New Roman" w:eastAsia="仿宋_GB2312" w:cs="Times New Roman"/>
                <w:kern w:val="0"/>
                <w:sz w:val="22"/>
              </w:rPr>
              <w:t>　</w:t>
            </w:r>
          </w:p>
        </w:tc>
        <w:tc>
          <w:tcPr>
            <w:tcW w:w="1749"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78"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711"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二、外交支出</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16</w:t>
            </w:r>
          </w:p>
        </w:tc>
        <w:tc>
          <w:tcPr>
            <w:tcW w:w="71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8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49"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78"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711"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三、国防支出</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17</w:t>
            </w:r>
          </w:p>
        </w:tc>
        <w:tc>
          <w:tcPr>
            <w:tcW w:w="71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8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49"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78"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4</w:t>
            </w:r>
          </w:p>
        </w:tc>
        <w:tc>
          <w:tcPr>
            <w:tcW w:w="711"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四、公共安全支出</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18</w:t>
            </w:r>
          </w:p>
        </w:tc>
        <w:tc>
          <w:tcPr>
            <w:tcW w:w="71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8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49"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78"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5</w:t>
            </w:r>
          </w:p>
        </w:tc>
        <w:tc>
          <w:tcPr>
            <w:tcW w:w="711"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五、教育支出</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19</w:t>
            </w:r>
          </w:p>
        </w:tc>
        <w:tc>
          <w:tcPr>
            <w:tcW w:w="71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8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49"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78"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6</w:t>
            </w:r>
          </w:p>
        </w:tc>
        <w:tc>
          <w:tcPr>
            <w:tcW w:w="711"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 w:val="22"/>
                <w:lang w:eastAsia="zh-CN"/>
              </w:rPr>
            </w:pPr>
            <w:r>
              <w:rPr>
                <w:rFonts w:hint="eastAsia" w:ascii="Times New Roman" w:hAnsi="Times New Roman" w:eastAsia="仿宋_GB2312" w:cs="Times New Roman"/>
                <w:kern w:val="0"/>
                <w:sz w:val="22"/>
                <w:lang w:eastAsia="zh-CN"/>
              </w:rPr>
              <w:t>八、社会保障和就业支出</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20</w:t>
            </w:r>
          </w:p>
        </w:tc>
        <w:tc>
          <w:tcPr>
            <w:tcW w:w="71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3.43</w:t>
            </w:r>
            <w:r>
              <w:rPr>
                <w:rFonts w:ascii="Times New Roman" w:hAnsi="Times New Roman" w:eastAsia="仿宋_GB2312" w:cs="Times New Roman"/>
                <w:kern w:val="0"/>
                <w:sz w:val="22"/>
              </w:rPr>
              <w:t>　</w:t>
            </w:r>
          </w:p>
        </w:tc>
        <w:tc>
          <w:tcPr>
            <w:tcW w:w="1787"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3.43</w:t>
            </w:r>
          </w:p>
        </w:tc>
        <w:tc>
          <w:tcPr>
            <w:tcW w:w="1749"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78"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7</w:t>
            </w:r>
          </w:p>
        </w:tc>
        <w:tc>
          <w:tcPr>
            <w:tcW w:w="711"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九、卫生健康支出</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21</w:t>
            </w:r>
          </w:p>
        </w:tc>
        <w:tc>
          <w:tcPr>
            <w:tcW w:w="71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0.80</w:t>
            </w:r>
            <w:r>
              <w:rPr>
                <w:rFonts w:ascii="Times New Roman" w:hAnsi="Times New Roman" w:eastAsia="仿宋_GB2312" w:cs="Times New Roman"/>
                <w:kern w:val="0"/>
                <w:sz w:val="22"/>
              </w:rPr>
              <w:t>　</w:t>
            </w:r>
          </w:p>
        </w:tc>
        <w:tc>
          <w:tcPr>
            <w:tcW w:w="178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0.80</w:t>
            </w:r>
            <w:r>
              <w:rPr>
                <w:rFonts w:ascii="Times New Roman" w:hAnsi="Times New Roman" w:eastAsia="仿宋_GB2312" w:cs="Times New Roman"/>
                <w:kern w:val="0"/>
                <w:sz w:val="22"/>
              </w:rPr>
              <w:t>　</w:t>
            </w:r>
          </w:p>
        </w:tc>
        <w:tc>
          <w:tcPr>
            <w:tcW w:w="1749"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78"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8</w:t>
            </w:r>
          </w:p>
        </w:tc>
        <w:tc>
          <w:tcPr>
            <w:tcW w:w="711"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eastAsia="zh-CN"/>
              </w:rPr>
              <w:t>十一、城乡社区支出</w:t>
            </w: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22</w:t>
            </w:r>
          </w:p>
        </w:tc>
        <w:tc>
          <w:tcPr>
            <w:tcW w:w="71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0.36</w:t>
            </w:r>
            <w:r>
              <w:rPr>
                <w:rFonts w:ascii="Times New Roman" w:hAnsi="Times New Roman" w:eastAsia="仿宋_GB2312" w:cs="Times New Roman"/>
                <w:kern w:val="0"/>
                <w:sz w:val="22"/>
              </w:rPr>
              <w:t>　</w:t>
            </w:r>
          </w:p>
        </w:tc>
        <w:tc>
          <w:tcPr>
            <w:tcW w:w="178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0.36</w:t>
            </w:r>
            <w:r>
              <w:rPr>
                <w:rFonts w:ascii="Times New Roman" w:hAnsi="Times New Roman" w:eastAsia="仿宋_GB2312" w:cs="Times New Roman"/>
                <w:kern w:val="0"/>
                <w:sz w:val="22"/>
              </w:rPr>
              <w:t>　</w:t>
            </w:r>
          </w:p>
        </w:tc>
        <w:tc>
          <w:tcPr>
            <w:tcW w:w="1749"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7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本年收入合计</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9</w:t>
            </w:r>
          </w:p>
        </w:tc>
        <w:tc>
          <w:tcPr>
            <w:tcW w:w="711"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94.00</w:t>
            </w: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本年支出合计</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23</w:t>
            </w:r>
          </w:p>
        </w:tc>
        <w:tc>
          <w:tcPr>
            <w:tcW w:w="71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94.00</w:t>
            </w:r>
            <w:r>
              <w:rPr>
                <w:rFonts w:ascii="Times New Roman" w:hAnsi="Times New Roman" w:eastAsia="仿宋_GB2312" w:cs="Times New Roman"/>
                <w:kern w:val="0"/>
                <w:sz w:val="22"/>
              </w:rPr>
              <w:t>　</w:t>
            </w:r>
          </w:p>
        </w:tc>
        <w:tc>
          <w:tcPr>
            <w:tcW w:w="178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94.00</w:t>
            </w:r>
            <w:r>
              <w:rPr>
                <w:rFonts w:ascii="Times New Roman" w:hAnsi="Times New Roman" w:eastAsia="仿宋_GB2312" w:cs="Times New Roman"/>
                <w:kern w:val="0"/>
                <w:sz w:val="22"/>
              </w:rPr>
              <w:t>　</w:t>
            </w:r>
          </w:p>
        </w:tc>
        <w:tc>
          <w:tcPr>
            <w:tcW w:w="1749"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7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年初财政拨款结转和结余</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10</w:t>
            </w:r>
          </w:p>
        </w:tc>
        <w:tc>
          <w:tcPr>
            <w:tcW w:w="711"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年末财政拨款结转和结余</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24</w:t>
            </w:r>
          </w:p>
        </w:tc>
        <w:tc>
          <w:tcPr>
            <w:tcW w:w="71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8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49"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7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一般公共预算财政拨款</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11</w:t>
            </w:r>
          </w:p>
        </w:tc>
        <w:tc>
          <w:tcPr>
            <w:tcW w:w="711"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25</w:t>
            </w:r>
          </w:p>
        </w:tc>
        <w:tc>
          <w:tcPr>
            <w:tcW w:w="71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8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49"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7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政府性基金预算财政拨款</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12</w:t>
            </w:r>
          </w:p>
        </w:tc>
        <w:tc>
          <w:tcPr>
            <w:tcW w:w="711"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26</w:t>
            </w:r>
          </w:p>
        </w:tc>
        <w:tc>
          <w:tcPr>
            <w:tcW w:w="71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8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49"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7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国有资本经营预算财政拨款</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13</w:t>
            </w:r>
          </w:p>
        </w:tc>
        <w:tc>
          <w:tcPr>
            <w:tcW w:w="711"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27</w:t>
            </w:r>
          </w:p>
        </w:tc>
        <w:tc>
          <w:tcPr>
            <w:tcW w:w="71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8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49"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7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616" w:type="dxa"/>
            <w:tcBorders>
              <w:top w:val="nil"/>
              <w:left w:val="nil"/>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14</w:t>
            </w:r>
          </w:p>
        </w:tc>
        <w:tc>
          <w:tcPr>
            <w:tcW w:w="711"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94.00</w:t>
            </w: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616" w:type="dxa"/>
            <w:tcBorders>
              <w:top w:val="nil"/>
              <w:left w:val="nil"/>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28</w:t>
            </w:r>
          </w:p>
        </w:tc>
        <w:tc>
          <w:tcPr>
            <w:tcW w:w="711" w:type="dxa"/>
            <w:tcBorders>
              <w:top w:val="nil"/>
              <w:left w:val="nil"/>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94.00</w:t>
            </w:r>
            <w:r>
              <w:rPr>
                <w:rFonts w:ascii="Times New Roman" w:hAnsi="Times New Roman" w:eastAsia="仿宋_GB2312" w:cs="Times New Roman"/>
                <w:kern w:val="0"/>
                <w:sz w:val="22"/>
              </w:rPr>
              <w:t>　</w:t>
            </w:r>
          </w:p>
        </w:tc>
        <w:tc>
          <w:tcPr>
            <w:tcW w:w="1787" w:type="dxa"/>
            <w:tcBorders>
              <w:top w:val="nil"/>
              <w:left w:val="nil"/>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94.00</w:t>
            </w:r>
            <w:r>
              <w:rPr>
                <w:rFonts w:ascii="Times New Roman" w:hAnsi="Times New Roman" w:eastAsia="仿宋_GB2312" w:cs="Times New Roman"/>
                <w:kern w:val="0"/>
                <w:sz w:val="22"/>
              </w:rPr>
              <w:t>　</w:t>
            </w:r>
          </w:p>
        </w:tc>
        <w:tc>
          <w:tcPr>
            <w:tcW w:w="174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c>
          <w:tcPr>
            <w:tcW w:w="187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bl>
    <w:p>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pPr>
        <w:widowControl/>
        <w:jc w:val="center"/>
        <w:rPr>
          <w:rFonts w:ascii="Times New Roman" w:hAnsi="Times New Roman" w:eastAsia="方正小标宋_GBK" w:cs="Times New Roman"/>
          <w:kern w:val="0"/>
          <w:sz w:val="36"/>
          <w:szCs w:val="36"/>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一般公共预算财政拨款支出决算表</w:t>
      </w:r>
      <w:bookmarkEnd w:id="1"/>
    </w:p>
    <w:p>
      <w:pPr>
        <w:widowControl/>
        <w:spacing w:before="156"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Cs w:val="21"/>
          <w:lang w:eastAsia="zh-CN"/>
        </w:rPr>
        <w:t>蓝山县民兵训练基地管理中心</w:t>
      </w:r>
      <w:r>
        <w:rPr>
          <w:rFonts w:ascii="Times New Roman" w:hAnsi="Times New Roman" w:eastAsia="仿宋_GB2312" w:cs="Times New Roman"/>
          <w:color w:val="000000"/>
          <w:kern w:val="0"/>
          <w:szCs w:val="21"/>
        </w:rPr>
        <w:t xml:space="preserve">                                                                                                     公开05表</w:t>
      </w:r>
    </w:p>
    <w:p>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单位：万元</w:t>
      </w:r>
    </w:p>
    <w:tbl>
      <w:tblPr>
        <w:tblStyle w:val="11"/>
        <w:tblW w:w="14219" w:type="dxa"/>
        <w:jc w:val="center"/>
        <w:tblInd w:w="0" w:type="dxa"/>
        <w:tblLayout w:type="fixed"/>
        <w:tblCellMar>
          <w:top w:w="0" w:type="dxa"/>
          <w:left w:w="108" w:type="dxa"/>
          <w:bottom w:w="0" w:type="dxa"/>
          <w:right w:w="108" w:type="dxa"/>
        </w:tblCellMar>
      </w:tblPr>
      <w:tblGrid>
        <w:gridCol w:w="1200"/>
        <w:gridCol w:w="3527"/>
        <w:gridCol w:w="3000"/>
        <w:gridCol w:w="3492"/>
        <w:gridCol w:w="3000"/>
      </w:tblGrid>
      <w:tr>
        <w:tblPrEx>
          <w:tblLayout w:type="fixed"/>
          <w:tblCellMar>
            <w:top w:w="0" w:type="dxa"/>
            <w:left w:w="108" w:type="dxa"/>
            <w:bottom w:w="0" w:type="dxa"/>
            <w:right w:w="108" w:type="dxa"/>
          </w:tblCellMar>
        </w:tblPrEx>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tblPrEx>
          <w:tblLayout w:type="fixed"/>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tblPrEx>
          <w:tblLayout w:type="fixed"/>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Layout w:type="fixed"/>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Layout w:type="fixed"/>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tblPrEx>
          <w:tblLayout w:type="fixed"/>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94.00</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45.39</w:t>
            </w: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48.61</w:t>
            </w:r>
            <w:r>
              <w:rPr>
                <w:rFonts w:ascii="Times New Roman" w:hAnsi="Times New Roman" w:eastAsia="仿宋_GB2312" w:cs="Times New Roman"/>
                <w:kern w:val="0"/>
                <w:szCs w:val="21"/>
              </w:rPr>
              <w:t>　</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2019999</w:t>
            </w: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eastAsia="zh-CN"/>
              </w:rPr>
              <w:t>其他一般公共服务支出</w:t>
            </w: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 xml:space="preserve">          89.41</w:t>
            </w:r>
          </w:p>
        </w:tc>
        <w:tc>
          <w:tcPr>
            <w:tcW w:w="3492"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 xml:space="preserve">           40.80</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 xml:space="preserve">         48.61</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2080505</w:t>
            </w: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eastAsia="zh-CN"/>
              </w:rPr>
              <w:t>机关事业单位基本养老保险缴费支出</w:t>
            </w: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 xml:space="preserve">          3.43</w:t>
            </w:r>
          </w:p>
        </w:tc>
        <w:tc>
          <w:tcPr>
            <w:tcW w:w="3492"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 xml:space="preserve">           3.43</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2101102</w:t>
            </w: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eastAsia="zh-CN"/>
              </w:rPr>
              <w:t>事业单位医疗</w:t>
            </w: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 xml:space="preserve">          0.80</w:t>
            </w:r>
          </w:p>
        </w:tc>
        <w:tc>
          <w:tcPr>
            <w:tcW w:w="3492"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 xml:space="preserve">           0.80</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2120199</w:t>
            </w: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eastAsia="zh-CN"/>
              </w:rPr>
              <w:t>其他城乡社区管理事务支出</w:t>
            </w: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 xml:space="preserve">          0.36</w:t>
            </w:r>
          </w:p>
        </w:tc>
        <w:tc>
          <w:tcPr>
            <w:tcW w:w="3492"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 xml:space="preserve">           0.36</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8"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bl>
    <w:p>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pPr>
        <w:widowControl/>
        <w:spacing w:after="120"/>
        <w:jc w:val="center"/>
        <w:textAlignment w:val="center"/>
        <w:rPr>
          <w:rFonts w:ascii="Times New Roman" w:hAnsi="Times New Roman" w:eastAsia="黑体" w:cs="Times New Roman"/>
          <w:color w:val="000000"/>
          <w:kern w:val="0"/>
          <w:sz w:val="36"/>
          <w:szCs w:val="36"/>
          <w:lang w:bidi="ar"/>
        </w:rPr>
      </w:pPr>
      <w:bookmarkStart w:id="2" w:name="RANGE!A1:I34"/>
      <w:r>
        <w:rPr>
          <w:rFonts w:ascii="Times New Roman" w:hAnsi="Times New Roman" w:eastAsia="黑体" w:cs="Times New Roman"/>
          <w:color w:val="000000"/>
          <w:kern w:val="0"/>
          <w:sz w:val="36"/>
          <w:szCs w:val="36"/>
          <w:lang w:bidi="ar"/>
        </w:rPr>
        <w:t>一般公共预算财政拨款基本支出决算明细表</w:t>
      </w:r>
      <w:bookmarkEnd w:id="2"/>
    </w:p>
    <w:p>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Cs w:val="21"/>
          <w:lang w:eastAsia="zh-CN"/>
        </w:rPr>
        <w:t>蓝山县民兵训练基地管理中心</w:t>
      </w:r>
      <w:r>
        <w:rPr>
          <w:rFonts w:ascii="Times New Roman" w:hAnsi="Times New Roman" w:eastAsia="仿宋_GB2312" w:cs="Times New Roman"/>
          <w:color w:val="000000"/>
          <w:kern w:val="0"/>
          <w:szCs w:val="21"/>
        </w:rPr>
        <w:t xml:space="preserve">                                                                                                                公开06表</w:t>
      </w:r>
    </w:p>
    <w:p>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11"/>
        <w:tblW w:w="14627" w:type="dxa"/>
        <w:jc w:val="center"/>
        <w:tblInd w:w="0" w:type="dxa"/>
        <w:tblLayout w:type="fixed"/>
        <w:tblCellMar>
          <w:top w:w="0" w:type="dxa"/>
          <w:left w:w="108" w:type="dxa"/>
          <w:bottom w:w="0" w:type="dxa"/>
          <w:right w:w="108" w:type="dxa"/>
        </w:tblCellMar>
      </w:tblPr>
      <w:tblGrid>
        <w:gridCol w:w="1081"/>
        <w:gridCol w:w="2850"/>
        <w:gridCol w:w="966"/>
        <w:gridCol w:w="1116"/>
        <w:gridCol w:w="2018"/>
        <w:gridCol w:w="933"/>
        <w:gridCol w:w="1217"/>
        <w:gridCol w:w="3517"/>
        <w:gridCol w:w="929"/>
      </w:tblGrid>
      <w:tr>
        <w:tblPrEx>
          <w:tblLayout w:type="fixed"/>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5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966"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36.70</w:t>
            </w:r>
          </w:p>
        </w:tc>
        <w:tc>
          <w:tcPr>
            <w:tcW w:w="111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7.59</w:t>
            </w:r>
          </w:p>
        </w:tc>
        <w:tc>
          <w:tcPr>
            <w:tcW w:w="12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5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966"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10.98</w:t>
            </w:r>
          </w:p>
        </w:tc>
        <w:tc>
          <w:tcPr>
            <w:tcW w:w="111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3"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1.30</w:t>
            </w:r>
          </w:p>
        </w:tc>
        <w:tc>
          <w:tcPr>
            <w:tcW w:w="12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5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966"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0.07</w:t>
            </w:r>
          </w:p>
        </w:tc>
        <w:tc>
          <w:tcPr>
            <w:tcW w:w="111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3"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5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966"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10.34</w:t>
            </w:r>
          </w:p>
        </w:tc>
        <w:tc>
          <w:tcPr>
            <w:tcW w:w="111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3"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0.74</w:t>
            </w: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5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966"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1.65</w:t>
            </w:r>
          </w:p>
        </w:tc>
        <w:tc>
          <w:tcPr>
            <w:tcW w:w="111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3"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5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966"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8.10</w:t>
            </w:r>
          </w:p>
        </w:tc>
        <w:tc>
          <w:tcPr>
            <w:tcW w:w="111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3"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0.74</w:t>
            </w: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5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966"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3.54</w:t>
            </w:r>
          </w:p>
        </w:tc>
        <w:tc>
          <w:tcPr>
            <w:tcW w:w="111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33"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5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966"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3"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0.20</w:t>
            </w:r>
          </w:p>
        </w:tc>
        <w:tc>
          <w:tcPr>
            <w:tcW w:w="12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5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966"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1.59</w:t>
            </w:r>
          </w:p>
        </w:tc>
        <w:tc>
          <w:tcPr>
            <w:tcW w:w="111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3"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5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966"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3"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5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966"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0.45</w:t>
            </w:r>
          </w:p>
        </w:tc>
        <w:tc>
          <w:tcPr>
            <w:tcW w:w="111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3"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0.16</w:t>
            </w:r>
          </w:p>
        </w:tc>
        <w:tc>
          <w:tcPr>
            <w:tcW w:w="12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5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966"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3"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5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966"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3"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5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966"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3"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5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966"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0.36</w:t>
            </w:r>
          </w:p>
        </w:tc>
        <w:tc>
          <w:tcPr>
            <w:tcW w:w="111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3"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5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966"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3"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5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966"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3"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5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966"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3"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0.17</w:t>
            </w:r>
          </w:p>
        </w:tc>
        <w:tc>
          <w:tcPr>
            <w:tcW w:w="12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5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966"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3"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5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966"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0.26</w:t>
            </w:r>
          </w:p>
        </w:tc>
        <w:tc>
          <w:tcPr>
            <w:tcW w:w="111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3"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5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966"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3"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0.96</w:t>
            </w:r>
          </w:p>
        </w:tc>
        <w:tc>
          <w:tcPr>
            <w:tcW w:w="12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5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966"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3"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5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966"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3"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3.22</w:t>
            </w:r>
          </w:p>
        </w:tc>
        <w:tc>
          <w:tcPr>
            <w:tcW w:w="12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5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966"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3"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pPr>
              <w:widowControl/>
              <w:jc w:val="left"/>
              <w:rPr>
                <w:rFonts w:ascii="Times New Roman" w:hAnsi="Times New Roman" w:eastAsia="仿宋_GB2312" w:cs="Times New Roman"/>
                <w:color w:val="000000"/>
                <w:kern w:val="0"/>
                <w:szCs w:val="20"/>
              </w:rPr>
            </w:pPr>
          </w:p>
          <w:tbl>
            <w:tblPr>
              <w:tblStyle w:val="11"/>
              <w:tblW w:w="3946" w:type="dxa"/>
              <w:tblInd w:w="0" w:type="dxa"/>
              <w:tblLayout w:type="fixed"/>
              <w:tblCellMar>
                <w:top w:w="0" w:type="dxa"/>
                <w:left w:w="108" w:type="dxa"/>
                <w:bottom w:w="0" w:type="dxa"/>
                <w:right w:w="108" w:type="dxa"/>
              </w:tblCellMar>
            </w:tblPr>
            <w:tblGrid>
              <w:gridCol w:w="3946"/>
            </w:tblGrid>
            <w:tr>
              <w:tblPrEx>
                <w:tblLayout w:type="fixed"/>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tblPrEx>
                <w:tblLayout w:type="fixed"/>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pPr>
              <w:widowControl/>
              <w:jc w:val="left"/>
              <w:rPr>
                <w:rFonts w:ascii="Times New Roman" w:hAnsi="Times New Roman" w:eastAsia="仿宋_GB2312" w:cs="Times New Roman"/>
                <w:color w:val="000000"/>
                <w:kern w:val="0"/>
                <w:szCs w:val="20"/>
              </w:rPr>
            </w:pPr>
          </w:p>
          <w:tbl>
            <w:tblPr>
              <w:tblStyle w:val="11"/>
              <w:tblW w:w="3946" w:type="dxa"/>
              <w:tblInd w:w="0" w:type="dxa"/>
              <w:tblLayout w:type="fixed"/>
              <w:tblCellMar>
                <w:top w:w="0" w:type="dxa"/>
                <w:left w:w="108" w:type="dxa"/>
                <w:bottom w:w="0" w:type="dxa"/>
                <w:right w:w="108" w:type="dxa"/>
              </w:tblCellMar>
            </w:tblPr>
            <w:tblGrid>
              <w:gridCol w:w="3946"/>
            </w:tblGrid>
            <w:tr>
              <w:tblPrEx>
                <w:tblLayout w:type="fixed"/>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tblPrEx>
                <w:tblLayout w:type="fixed"/>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5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966"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33"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5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966"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3"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5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966"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0.10</w:t>
            </w:r>
          </w:p>
        </w:tc>
        <w:tc>
          <w:tcPr>
            <w:tcW w:w="111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3"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5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96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33"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1.58</w:t>
            </w:r>
          </w:p>
        </w:tc>
        <w:tc>
          <w:tcPr>
            <w:tcW w:w="12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966"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37.06</w:t>
            </w:r>
          </w:p>
        </w:tc>
        <w:tc>
          <w:tcPr>
            <w:tcW w:w="8801"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lang w:val="en-US" w:eastAsia="zh-CN"/>
              </w:rPr>
              <w:t>8.33</w:t>
            </w:r>
            <w:r>
              <w:rPr>
                <w:rFonts w:ascii="Times New Roman" w:hAnsi="Times New Roman" w:eastAsia="仿宋_GB2312" w:cs="Times New Roman"/>
                <w:color w:val="000000"/>
                <w:kern w:val="0"/>
                <w:szCs w:val="18"/>
              </w:rPr>
              <w:t>　</w:t>
            </w:r>
          </w:p>
        </w:tc>
      </w:tr>
    </w:tbl>
    <w:p>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pPr>
        <w:widowControl/>
        <w:spacing w:line="400" w:lineRule="exact"/>
        <w:jc w:val="center"/>
        <w:textAlignment w:val="center"/>
        <w:rPr>
          <w:rFonts w:ascii="Times New Roman" w:hAnsi="Times New Roman" w:eastAsia="仿宋_GB2312" w:cs="Times New Roman"/>
          <w:color w:val="000000"/>
          <w:kern w:val="0"/>
          <w:sz w:val="32"/>
          <w:szCs w:val="32"/>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政府性基金预算财政拨款收入支出决算表</w:t>
      </w:r>
    </w:p>
    <w:p>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公开07表</w:t>
      </w:r>
    </w:p>
    <w:p>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eastAsia="zh-CN" w:bidi="ar"/>
        </w:rPr>
        <w:t>蓝山县民兵训练基地管理中心</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11"/>
        <w:tblW w:w="14326" w:type="dxa"/>
        <w:jc w:val="center"/>
        <w:tblInd w:w="0" w:type="dxa"/>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tblPrEx>
          <w:tblLayout w:type="fixed"/>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Style w:val="17"/>
                <w:rFonts w:hint="default" w:ascii="Times New Roman" w:hAnsi="Times New Roman" w:eastAsia="仿宋_GB2312" w:cs="Times New Roman"/>
                <w:b/>
                <w:bCs/>
                <w:lang w:bidi="ar"/>
              </w:rPr>
              <w:t xml:space="preserve">   </w:t>
            </w:r>
            <w:r>
              <w:rPr>
                <w:rStyle w:val="18"/>
                <w:rFonts w:hint="default" w:ascii="Times New Roman" w:hAnsi="Times New Roman" w:eastAsia="仿宋_GB2312" w:cs="Times New Roman"/>
                <w:b/>
                <w:bCs/>
                <w:lang w:bidi="ar"/>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年末结转和结余</w:t>
            </w:r>
          </w:p>
        </w:tc>
      </w:tr>
      <w:tr>
        <w:tblPrEx>
          <w:tblLayout w:type="fixed"/>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color w:val="000000"/>
                <w:sz w:val="24"/>
                <w:szCs w:val="24"/>
              </w:rPr>
            </w:pPr>
          </w:p>
        </w:tc>
      </w:tr>
      <w:tr>
        <w:tblPrEx>
          <w:tblLayout w:type="fixed"/>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Layout w:type="fixed"/>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Layout w:type="fixed"/>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6</w:t>
            </w:r>
          </w:p>
        </w:tc>
      </w:tr>
      <w:tr>
        <w:tblPrEx>
          <w:tblLayout w:type="fixed"/>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r>
      <w:tr>
        <w:tblPrEx>
          <w:tblLayout w:type="fixed"/>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Layout w:type="fixed"/>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Layout w:type="fixed"/>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Layout w:type="fixed"/>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Layout w:type="fixed"/>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Layout w:type="fixed"/>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bl>
    <w:p>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注：本表反映部门本年度政府性基金预算财政拨款收入、支出及结转和结余情况。</w:t>
      </w:r>
    </w:p>
    <w:p>
      <w:pPr>
        <w:widowControl/>
        <w:jc w:val="left"/>
        <w:textAlignment w:val="center"/>
        <w:rPr>
          <w:rFonts w:ascii="Times New Roman" w:hAnsi="Times New Roman" w:eastAsia="仿宋_GB2312" w:cs="Times New Roman"/>
          <w:color w:val="000000"/>
          <w:kern w:val="0"/>
          <w:sz w:val="24"/>
          <w:szCs w:val="24"/>
          <w:lang w:bidi="ar"/>
        </w:rPr>
      </w:pPr>
    </w:p>
    <w:p>
      <w:pPr>
        <w:widowControl/>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b/>
          <w:bCs/>
          <w:kern w:val="0"/>
          <w:sz w:val="24"/>
          <w:szCs w:val="24"/>
          <w:lang w:bidi="ar"/>
        </w:rPr>
        <w:t>说明：我单位没有政府性基金收入，也没有使用政府性基金安排的支出，故本表无数据。</w:t>
      </w:r>
    </w:p>
    <w:p>
      <w:pPr>
        <w:widowControl/>
        <w:jc w:val="center"/>
        <w:rPr>
          <w:rFonts w:ascii="Times New Roman" w:hAnsi="Times New Roman" w:eastAsia="方正小标宋_GBK" w:cs="Times New Roman"/>
          <w:color w:val="000000"/>
          <w:kern w:val="0"/>
          <w:sz w:val="36"/>
          <w:szCs w:val="36"/>
        </w:rPr>
      </w:pPr>
    </w:p>
    <w:p>
      <w:pPr>
        <w:widowControl/>
        <w:spacing w:line="400" w:lineRule="exact"/>
        <w:textAlignment w:val="center"/>
        <w:rPr>
          <w:rFonts w:ascii="Times New Roman" w:hAnsi="Times New Roman" w:eastAsia="黑体" w:cs="Times New Roman"/>
          <w:color w:val="000000"/>
          <w:kern w:val="0"/>
          <w:sz w:val="36"/>
          <w:szCs w:val="36"/>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国有资本经营预算财政拨款支出决算表</w:t>
      </w:r>
    </w:p>
    <w:p>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公开08表</w:t>
      </w:r>
    </w:p>
    <w:p>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eastAsia="zh-CN" w:bidi="ar"/>
        </w:rPr>
        <w:t>蓝山县民兵训练基地管理中心</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11"/>
        <w:tblW w:w="14217" w:type="dxa"/>
        <w:tblInd w:w="0" w:type="dxa"/>
        <w:tblLayout w:type="fixed"/>
        <w:tblCellMar>
          <w:top w:w="0" w:type="dxa"/>
          <w:left w:w="108" w:type="dxa"/>
          <w:bottom w:w="0" w:type="dxa"/>
          <w:right w:w="108" w:type="dxa"/>
        </w:tblCellMar>
      </w:tblPr>
      <w:tblGrid>
        <w:gridCol w:w="3094"/>
        <w:gridCol w:w="3097"/>
        <w:gridCol w:w="1832"/>
        <w:gridCol w:w="3097"/>
        <w:gridCol w:w="3097"/>
      </w:tblGrid>
      <w:tr>
        <w:tblPrEx>
          <w:tblLayout w:type="fixed"/>
          <w:tblCellMar>
            <w:top w:w="0" w:type="dxa"/>
            <w:left w:w="108" w:type="dxa"/>
            <w:bottom w:w="0" w:type="dxa"/>
            <w:right w:w="108" w:type="dxa"/>
          </w:tblCellMar>
        </w:tblPrEx>
        <w:trPr>
          <w:trHeight w:val="548" w:hRule="atLeast"/>
        </w:trPr>
        <w:tc>
          <w:tcPr>
            <w:tcW w:w="61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Fonts w:ascii="Times New Roman" w:hAnsi="Times New Roman" w:eastAsia="仿宋_GB2312" w:cs="Times New Roman"/>
                <w:b/>
                <w:bCs/>
                <w:color w:val="000000"/>
                <w:kern w:val="0"/>
                <w:sz w:val="22"/>
                <w:lang w:bidi="ar"/>
              </w:rPr>
              <w:t xml:space="preserve">   </w:t>
            </w:r>
            <w:r>
              <w:rPr>
                <w:rStyle w:val="19"/>
                <w:rFonts w:hint="default" w:ascii="Times New Roman" w:hAnsi="Times New Roman" w:eastAsia="仿宋_GB2312" w:cs="Times New Roman"/>
                <w:b/>
                <w:bCs/>
                <w:lang w:bidi="ar"/>
              </w:rPr>
              <w:t>目</w:t>
            </w:r>
          </w:p>
        </w:tc>
        <w:tc>
          <w:tcPr>
            <w:tcW w:w="80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r>
      <w:tr>
        <w:tblPrEx>
          <w:tblLayout w:type="fixed"/>
          <w:tblCellMar>
            <w:top w:w="0" w:type="dxa"/>
            <w:left w:w="108" w:type="dxa"/>
            <w:bottom w:w="0" w:type="dxa"/>
            <w:right w:w="108" w:type="dxa"/>
          </w:tblCellMar>
        </w:tblPrEx>
        <w:trPr>
          <w:trHeight w:val="312" w:hRule="exact"/>
        </w:trPr>
        <w:tc>
          <w:tcPr>
            <w:tcW w:w="30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3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18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合计</w:t>
            </w:r>
          </w:p>
        </w:tc>
        <w:tc>
          <w:tcPr>
            <w:tcW w:w="3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3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r>
      <w:tr>
        <w:tblPrEx>
          <w:tblLayout w:type="fixed"/>
          <w:tblCellMar>
            <w:top w:w="0" w:type="dxa"/>
            <w:left w:w="108" w:type="dxa"/>
            <w:bottom w:w="0" w:type="dxa"/>
            <w:right w:w="108" w:type="dxa"/>
          </w:tblCellMar>
        </w:tblPrEx>
        <w:trPr>
          <w:trHeight w:val="312" w:hRule="exact"/>
        </w:trPr>
        <w:tc>
          <w:tcPr>
            <w:tcW w:w="30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8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Layout w:type="fixed"/>
          <w:tblCellMar>
            <w:top w:w="0" w:type="dxa"/>
            <w:left w:w="108" w:type="dxa"/>
            <w:bottom w:w="0" w:type="dxa"/>
            <w:right w:w="108" w:type="dxa"/>
          </w:tblCellMar>
        </w:tblPrEx>
        <w:trPr>
          <w:trHeight w:val="312" w:hRule="atLeast"/>
        </w:trPr>
        <w:tc>
          <w:tcPr>
            <w:tcW w:w="30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8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Layout w:type="fixed"/>
          <w:tblCellMar>
            <w:top w:w="0" w:type="dxa"/>
            <w:left w:w="108" w:type="dxa"/>
            <w:bottom w:w="0" w:type="dxa"/>
            <w:right w:w="108" w:type="dxa"/>
          </w:tblCellMar>
        </w:tblPrEx>
        <w:trPr>
          <w:trHeight w:val="548" w:hRule="atLeast"/>
        </w:trPr>
        <w:tc>
          <w:tcPr>
            <w:tcW w:w="61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r>
      <w:tr>
        <w:tblPrEx>
          <w:tblLayout w:type="fixed"/>
          <w:tblCellMar>
            <w:top w:w="0" w:type="dxa"/>
            <w:left w:w="108" w:type="dxa"/>
            <w:bottom w:w="0" w:type="dxa"/>
            <w:right w:w="108" w:type="dxa"/>
          </w:tblCellMar>
        </w:tblPrEx>
        <w:trPr>
          <w:trHeight w:val="548" w:hRule="atLeast"/>
        </w:trPr>
        <w:tc>
          <w:tcPr>
            <w:tcW w:w="61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r>
      <w:tr>
        <w:tblPrEx>
          <w:tblLayout w:type="fixed"/>
          <w:tblCellMar>
            <w:top w:w="0" w:type="dxa"/>
            <w:left w:w="108" w:type="dxa"/>
            <w:bottom w:w="0" w:type="dxa"/>
            <w:right w:w="108" w:type="dxa"/>
          </w:tblCellMar>
        </w:tblPrEx>
        <w:trPr>
          <w:trHeight w:val="548" w:hRule="atLeast"/>
        </w:trPr>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0"/>
                <w:szCs w:val="20"/>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Layout w:type="fixed"/>
          <w:tblCellMar>
            <w:top w:w="0" w:type="dxa"/>
            <w:left w:w="108" w:type="dxa"/>
            <w:bottom w:w="0" w:type="dxa"/>
            <w:right w:w="108" w:type="dxa"/>
          </w:tblCellMar>
        </w:tblPrEx>
        <w:trPr>
          <w:trHeight w:val="548" w:hRule="atLeast"/>
        </w:trPr>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Layout w:type="fixed"/>
          <w:tblCellMar>
            <w:top w:w="0" w:type="dxa"/>
            <w:left w:w="108" w:type="dxa"/>
            <w:bottom w:w="0" w:type="dxa"/>
            <w:right w:w="108" w:type="dxa"/>
          </w:tblCellMar>
        </w:tblPrEx>
        <w:trPr>
          <w:trHeight w:val="548" w:hRule="atLeast"/>
        </w:trPr>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0"/>
                <w:szCs w:val="20"/>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r>
        <w:tblPrEx>
          <w:tblLayout w:type="fixed"/>
          <w:tblCellMar>
            <w:top w:w="0" w:type="dxa"/>
            <w:left w:w="108" w:type="dxa"/>
            <w:bottom w:w="0" w:type="dxa"/>
            <w:right w:w="108" w:type="dxa"/>
          </w:tblCellMar>
        </w:tblPrEx>
        <w:trPr>
          <w:trHeight w:val="548" w:hRule="atLeast"/>
        </w:trPr>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r>
        <w:tblPrEx>
          <w:tblLayout w:type="fixed"/>
          <w:tblCellMar>
            <w:top w:w="0" w:type="dxa"/>
            <w:left w:w="108" w:type="dxa"/>
            <w:bottom w:w="0" w:type="dxa"/>
            <w:right w:w="108" w:type="dxa"/>
          </w:tblCellMar>
        </w:tblPrEx>
        <w:trPr>
          <w:trHeight w:val="548" w:hRule="atLeast"/>
        </w:trPr>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r>
        <w:tblPrEx>
          <w:tblLayout w:type="fixed"/>
          <w:tblCellMar>
            <w:top w:w="0" w:type="dxa"/>
            <w:left w:w="108" w:type="dxa"/>
            <w:bottom w:w="0" w:type="dxa"/>
            <w:right w:w="108" w:type="dxa"/>
          </w:tblCellMar>
        </w:tblPrEx>
        <w:trPr>
          <w:trHeight w:val="548" w:hRule="atLeast"/>
        </w:trPr>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bl>
    <w:p>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注：本表反映部门本年度国有资本经营预算财政拨款支出情况。</w:t>
      </w:r>
    </w:p>
    <w:p>
      <w:pPr>
        <w:widowControl/>
        <w:jc w:val="left"/>
        <w:textAlignment w:val="center"/>
        <w:rPr>
          <w:rFonts w:ascii="Times New Roman" w:hAnsi="Times New Roman" w:eastAsia="宋体" w:cs="Times New Roman"/>
          <w:color w:val="000000"/>
          <w:kern w:val="0"/>
          <w:sz w:val="24"/>
          <w:szCs w:val="24"/>
          <w:lang w:bidi="ar"/>
        </w:rPr>
      </w:pPr>
    </w:p>
    <w:p>
      <w:pPr>
        <w:widowControl/>
        <w:jc w:val="left"/>
        <w:textAlignment w:val="center"/>
        <w:rPr>
          <w:rFonts w:ascii="Times New Roman" w:hAnsi="Times New Roman" w:eastAsia="楷体_GB2312" w:cs="Times New Roman"/>
          <w:color w:val="000000"/>
          <w:kern w:val="0"/>
          <w:sz w:val="24"/>
          <w:szCs w:val="24"/>
          <w:lang w:bidi="ar"/>
        </w:rPr>
      </w:pPr>
      <w:r>
        <w:rPr>
          <w:rFonts w:ascii="Times New Roman" w:hAnsi="Times New Roman" w:eastAsia="楷体_GB2312" w:cs="Times New Roman"/>
          <w:b/>
          <w:bCs/>
          <w:kern w:val="0"/>
          <w:sz w:val="24"/>
          <w:szCs w:val="24"/>
          <w:lang w:bidi="ar"/>
        </w:rPr>
        <w:t>说明：我单位没有使用国有资本经营预算安排的支出，故本表无数据。</w:t>
      </w:r>
    </w:p>
    <w:p>
      <w:pPr>
        <w:widowControl/>
        <w:jc w:val="center"/>
        <w:rPr>
          <w:rFonts w:ascii="Times New Roman" w:hAnsi="Times New Roman" w:eastAsia="方正小标宋_GBK" w:cs="Times New Roman"/>
          <w:color w:val="000000"/>
          <w:kern w:val="0"/>
          <w:sz w:val="36"/>
          <w:szCs w:val="36"/>
        </w:rPr>
      </w:pPr>
    </w:p>
    <w:p>
      <w:pPr>
        <w:pStyle w:val="2"/>
        <w:spacing w:line="400" w:lineRule="exact"/>
        <w:rPr>
          <w:rFonts w:ascii="Times New Roman" w:hAnsi="Times New Roman" w:eastAsia="华文中宋" w:cs="Times New Roman"/>
          <w:color w:val="000000"/>
          <w:kern w:val="0"/>
          <w:sz w:val="32"/>
          <w:szCs w:val="32"/>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财政拨款“三公”经费支出决算表</w:t>
      </w:r>
    </w:p>
    <w:p>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公开09表</w:t>
      </w:r>
    </w:p>
    <w:p>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lang w:bidi="ar"/>
        </w:rPr>
        <w:t>部门：</w:t>
      </w:r>
      <w:r>
        <w:rPr>
          <w:rFonts w:hint="eastAsia" w:ascii="Times New Roman" w:hAnsi="Times New Roman" w:eastAsia="楷体_GB2312" w:cs="Times New Roman"/>
          <w:color w:val="000000"/>
          <w:kern w:val="0"/>
          <w:sz w:val="20"/>
          <w:szCs w:val="20"/>
          <w:lang w:eastAsia="zh-CN" w:bidi="ar"/>
        </w:rPr>
        <w:t>蓝山县民兵训练基地管理中心</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单位：万元</w:t>
      </w:r>
    </w:p>
    <w:tbl>
      <w:tblPr>
        <w:tblStyle w:val="11"/>
        <w:tblW w:w="14544" w:type="dxa"/>
        <w:jc w:val="center"/>
        <w:tblInd w:w="0" w:type="dxa"/>
        <w:tblLayout w:type="fixed"/>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tblPrEx>
          <w:tblLayout w:type="fixed"/>
          <w:tblCellMar>
            <w:top w:w="0" w:type="dxa"/>
            <w:left w:w="108" w:type="dxa"/>
            <w:bottom w:w="0" w:type="dxa"/>
            <w:right w:w="108" w:type="dxa"/>
          </w:tblCellMar>
        </w:tblPrEx>
        <w:trPr>
          <w:trHeight w:val="606" w:hRule="atLeast"/>
          <w:jc w:val="center"/>
        </w:trPr>
        <w:tc>
          <w:tcPr>
            <w:tcW w:w="723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预算数</w:t>
            </w:r>
          </w:p>
        </w:tc>
        <w:tc>
          <w:tcPr>
            <w:tcW w:w="730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决算数</w:t>
            </w:r>
          </w:p>
        </w:tc>
      </w:tr>
      <w:tr>
        <w:tblPrEx>
          <w:tblLayout w:type="fixed"/>
          <w:tblCellMar>
            <w:top w:w="0" w:type="dxa"/>
            <w:left w:w="108" w:type="dxa"/>
            <w:bottom w:w="0" w:type="dxa"/>
            <w:right w:w="108" w:type="dxa"/>
          </w:tblCellMar>
        </w:tblPrEx>
        <w:trPr>
          <w:trHeight w:val="495" w:hRule="atLeast"/>
          <w:jc w:val="center"/>
        </w:trPr>
        <w:tc>
          <w:tcPr>
            <w:tcW w:w="9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12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369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13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11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36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14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r>
      <w:tr>
        <w:tblPrEx>
          <w:tblLayout w:type="fixed"/>
          <w:tblCellMar>
            <w:top w:w="0" w:type="dxa"/>
            <w:left w:w="108" w:type="dxa"/>
            <w:bottom w:w="0" w:type="dxa"/>
            <w:right w:w="108" w:type="dxa"/>
          </w:tblCellMar>
        </w:tblPrEx>
        <w:trPr>
          <w:trHeight w:val="864" w:hRule="atLeast"/>
          <w:jc w:val="center"/>
        </w:trPr>
        <w:tc>
          <w:tcPr>
            <w:tcW w:w="9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12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13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11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r>
      <w:tr>
        <w:tblPrEx>
          <w:tblLayout w:type="fixed"/>
          <w:tblCellMar>
            <w:top w:w="0" w:type="dxa"/>
            <w:left w:w="108" w:type="dxa"/>
            <w:bottom w:w="0" w:type="dxa"/>
            <w:right w:w="108" w:type="dxa"/>
          </w:tblCellMar>
        </w:tblPrEx>
        <w:trPr>
          <w:trHeight w:val="614"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r>
      <w:tr>
        <w:tblPrEx>
          <w:tblLayout w:type="fixed"/>
          <w:tblCellMar>
            <w:top w:w="0" w:type="dxa"/>
            <w:left w:w="108" w:type="dxa"/>
            <w:bottom w:w="0" w:type="dxa"/>
            <w:right w:w="108" w:type="dxa"/>
          </w:tblCellMar>
        </w:tblPrEx>
        <w:trPr>
          <w:trHeight w:val="579"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r>
    </w:tbl>
    <w:p>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注：本表反映部门本年度财政拨款“三公”经费支出预决算情况。其中，预算数为“三公”经费全年预算数，反映按规定程序调整后的预算数；决算数是包括当年财政拨款和以前年度结转资金安排的实际支出。</w:t>
      </w: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pPr>
        <w:pStyle w:val="14"/>
        <w:rPr>
          <w:rFonts w:ascii="Times New Roman" w:hAnsi="Times New Roman" w:cs="Times New Roman"/>
          <w:sz w:val="72"/>
          <w:szCs w:val="72"/>
        </w:rPr>
      </w:pPr>
    </w:p>
    <w:p>
      <w:pPr>
        <w:pStyle w:val="14"/>
        <w:rPr>
          <w:rFonts w:ascii="Times New Roman" w:hAnsi="Times New Roman" w:cs="Times New Roman"/>
          <w:sz w:val="72"/>
          <w:szCs w:val="72"/>
        </w:rPr>
      </w:pPr>
    </w:p>
    <w:p>
      <w:pPr>
        <w:pStyle w:val="14"/>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eastAsia="方正小标宋_GBK" w:cs="Times New Roman"/>
          <w:sz w:val="72"/>
          <w:szCs w:val="72"/>
        </w:rPr>
      </w:pPr>
    </w:p>
    <w:p>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lang w:val="en-US" w:eastAsia="zh-CN"/>
        </w:rPr>
        <w:t>94.00</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22.06</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19.01</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人员经费和办公经费减少。</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94.00</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94.00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94.00</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45.39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48.29</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48.61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51.71</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94.00</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22.06</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19.01</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人员经费和办公经费减少。</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94.00</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%，与上年相比，财政拨款支出减少</w:t>
      </w:r>
      <w:r>
        <w:rPr>
          <w:rFonts w:hint="eastAsia" w:ascii="Times New Roman" w:hAnsi="Times New Roman" w:eastAsia="仿宋_GB2312" w:cs="Times New Roman"/>
          <w:sz w:val="32"/>
          <w:szCs w:val="32"/>
          <w:lang w:val="en-US" w:eastAsia="zh-CN"/>
        </w:rPr>
        <w:t>22.06</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19.01</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人员经费和办公经费减少。</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p>
    <w:p>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94.00</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lang w:val="en-US" w:eastAsia="zh-CN"/>
        </w:rPr>
        <w:t>89.41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95.12</w:t>
      </w:r>
      <w:r>
        <w:rPr>
          <w:rFonts w:ascii="Times New Roman" w:hAnsi="Times New Roman" w:eastAsia="仿宋_GB2312" w:cs="Times New Roman"/>
          <w:sz w:val="32"/>
          <w:szCs w:val="32"/>
        </w:rPr>
        <w:t>%；教育（类）支出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社会保障和就业</w:t>
      </w:r>
      <w:r>
        <w:rPr>
          <w:rFonts w:hint="eastAsia" w:ascii="Times New Roman" w:hAnsi="Times New Roman" w:eastAsia="仿宋_GB2312" w:cs="Times New Roman"/>
          <w:sz w:val="32"/>
          <w:szCs w:val="32"/>
          <w:lang w:val="en-US" w:eastAsia="zh-CN"/>
        </w:rPr>
        <w:t>(类)</w:t>
      </w:r>
      <w:r>
        <w:rPr>
          <w:rFonts w:hint="eastAsia" w:ascii="Times New Roman" w:hAnsi="Times New Roman" w:eastAsia="仿宋_GB2312" w:cs="Times New Roman"/>
          <w:sz w:val="32"/>
          <w:szCs w:val="32"/>
          <w:lang w:eastAsia="zh-CN"/>
        </w:rPr>
        <w:t>支出</w:t>
      </w:r>
      <w:r>
        <w:rPr>
          <w:rFonts w:hint="eastAsia" w:ascii="Times New Roman" w:hAnsi="Times New Roman" w:eastAsia="仿宋_GB2312" w:cs="Times New Roman"/>
          <w:sz w:val="32"/>
          <w:szCs w:val="32"/>
          <w:lang w:val="en-US" w:eastAsia="zh-CN"/>
        </w:rPr>
        <w:t>3.43万元,占3.65%；卫生健康(类)支出0.80万元,占0.85%;城乡社区(类)支出0.36万元,占0.38%。</w:t>
      </w:r>
    </w:p>
    <w:p>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94.00</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94.00</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1、一般公共服务（类）</w:t>
      </w:r>
      <w:r>
        <w:rPr>
          <w:rFonts w:hint="eastAsia" w:ascii="Times New Roman" w:hAnsi="Times New Roman" w:eastAsia="仿宋_GB2312" w:cs="Times New Roman"/>
          <w:sz w:val="32"/>
          <w:szCs w:val="32"/>
          <w:lang w:eastAsia="zh-CN"/>
        </w:rPr>
        <w:t>其他一般公共服务支出</w:t>
      </w:r>
      <w:r>
        <w:rPr>
          <w:rFonts w:ascii="Times New Roman" w:hAnsi="Times New Roman" w:eastAsia="仿宋_GB2312" w:cs="Times New Roman"/>
          <w:sz w:val="32"/>
          <w:szCs w:val="32"/>
        </w:rPr>
        <w:t>。</w:t>
      </w:r>
    </w:p>
    <w:p>
      <w:pPr>
        <w:pStyle w:val="14"/>
        <w:keepNext w:val="0"/>
        <w:keepLines w:val="0"/>
        <w:pageBreakBefore w:val="0"/>
        <w:kinsoku/>
        <w:overflowPunct/>
        <w:topLinePunct w:val="0"/>
        <w:bidi w:val="0"/>
        <w:snapToGrid/>
        <w:spacing w:line="600" w:lineRule="exact"/>
        <w:ind w:left="0" w:leftChars="0" w:right="0" w:firstLine="640" w:firstLineChars="200"/>
        <w:textAlignment w:val="auto"/>
        <w:rPr>
          <w:rFonts w:hint="default" w:ascii="Times New Roman" w:hAnsi="Times New Roman" w:eastAsia="仿宋_GB2312" w:cs="Times New Roman"/>
          <w:color w:val="auto"/>
          <w:spacing w:val="0"/>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89.41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89.41</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color w:val="auto"/>
          <w:spacing w:val="0"/>
          <w:sz w:val="32"/>
          <w:szCs w:val="32"/>
          <w:lang w:val="en-US" w:eastAsia="zh-CN"/>
        </w:rPr>
        <w:t>决算数等于年初预算数的主要原因是:严格执行预算</w:t>
      </w:r>
      <w:r>
        <w:rPr>
          <w:rFonts w:hint="default" w:ascii="Times New Roman" w:hAnsi="Times New Roman" w:eastAsia="仿宋_GB2312" w:cs="Times New Roman"/>
          <w:color w:val="auto"/>
          <w:spacing w:val="0"/>
          <w:sz w:val="32"/>
          <w:szCs w:val="32"/>
        </w:rPr>
        <w:t>。</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lang w:eastAsia="zh-CN"/>
        </w:rPr>
        <w:t>社会保障和就业支出</w:t>
      </w:r>
      <w:r>
        <w:rPr>
          <w:rFonts w:hint="eastAsia" w:ascii="Times New Roman" w:hAnsi="Times New Roman" w:eastAsia="仿宋_GB2312" w:cs="Times New Roman"/>
          <w:sz w:val="32"/>
          <w:szCs w:val="32"/>
          <w:lang w:val="en-US" w:eastAsia="zh-CN"/>
        </w:rPr>
        <w:t>(类)机关事业单位基本养老保险缴费支出</w:t>
      </w:r>
      <w:r>
        <w:rPr>
          <w:rFonts w:ascii="Times New Roman" w:hAnsi="Times New Roman" w:eastAsia="仿宋_GB2312" w:cs="Times New Roman"/>
          <w:sz w:val="32"/>
          <w:szCs w:val="32"/>
        </w:rPr>
        <w:t>。</w:t>
      </w:r>
    </w:p>
    <w:p>
      <w:pPr>
        <w:pStyle w:val="14"/>
        <w:keepNext w:val="0"/>
        <w:keepLines w:val="0"/>
        <w:pageBreakBefore w:val="0"/>
        <w:kinsoku/>
        <w:overflowPunct/>
        <w:topLinePunct w:val="0"/>
        <w:bidi w:val="0"/>
        <w:snapToGrid/>
        <w:spacing w:line="600" w:lineRule="exact"/>
        <w:ind w:left="0" w:leftChars="0" w:right="0" w:firstLine="640" w:firstLineChars="200"/>
        <w:textAlignment w:val="auto"/>
        <w:rPr>
          <w:rFonts w:hint="default" w:ascii="Times New Roman" w:hAnsi="Times New Roman" w:eastAsia="仿宋_GB2312" w:cs="Times New Roman"/>
          <w:color w:val="auto"/>
          <w:spacing w:val="0"/>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3.43</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3.43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color w:val="auto"/>
          <w:spacing w:val="0"/>
          <w:sz w:val="32"/>
          <w:szCs w:val="32"/>
          <w:lang w:val="en-US" w:eastAsia="zh-CN"/>
        </w:rPr>
        <w:t>决算数等于年初预算数的主要原因是:严格执行预算</w:t>
      </w:r>
      <w:r>
        <w:rPr>
          <w:rFonts w:hint="default" w:ascii="Times New Roman" w:hAnsi="Times New Roman" w:eastAsia="仿宋_GB2312" w:cs="Times New Roman"/>
          <w:color w:val="auto"/>
          <w:spacing w:val="0"/>
          <w:sz w:val="32"/>
          <w:szCs w:val="32"/>
        </w:rPr>
        <w:t>。</w:t>
      </w:r>
    </w:p>
    <w:p>
      <w:pPr>
        <w:pStyle w:val="14"/>
        <w:numPr>
          <w:ilvl w:val="0"/>
          <w:numId w:val="2"/>
        </w:numPr>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卫生健康支出(类)事业单位医疗。</w:t>
      </w:r>
    </w:p>
    <w:p>
      <w:pPr>
        <w:pStyle w:val="14"/>
        <w:numPr>
          <w:ilvl w:val="0"/>
          <w:numId w:val="0"/>
        </w:numPr>
        <w:overflowPunct w:val="0"/>
        <w:autoSpaceDE/>
        <w:autoSpaceDN/>
        <w:spacing w:line="600" w:lineRule="exact"/>
        <w:jc w:val="both"/>
        <w:rPr>
          <w:rFonts w:hint="default" w:ascii="Times New Roman" w:hAnsi="Times New Roman" w:eastAsia="仿宋_GB2312" w:cs="Times New Roman"/>
          <w:color w:val="auto"/>
          <w:spacing w:val="0"/>
          <w:sz w:val="32"/>
          <w:szCs w:val="32"/>
        </w:rPr>
      </w:pPr>
      <w:r>
        <w:rPr>
          <w:rFonts w:hint="eastAsia" w:ascii="Times New Roman" w:hAnsi="Times New Roman" w:eastAsia="仿宋_GB2312" w:cs="Times New Roman"/>
          <w:sz w:val="32"/>
          <w:szCs w:val="32"/>
          <w:lang w:val="en-US" w:eastAsia="zh-CN"/>
        </w:rPr>
        <w:t xml:space="preserve">   </w:t>
      </w: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0.80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0.80</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color w:val="auto"/>
          <w:spacing w:val="0"/>
          <w:sz w:val="32"/>
          <w:szCs w:val="32"/>
          <w:lang w:val="en-US" w:eastAsia="zh-CN"/>
        </w:rPr>
        <w:t>决算数等于年初预算数的主要原因是:严格执行预算</w:t>
      </w:r>
      <w:r>
        <w:rPr>
          <w:rFonts w:hint="default" w:ascii="Times New Roman" w:hAnsi="Times New Roman" w:eastAsia="仿宋_GB2312" w:cs="Times New Roman"/>
          <w:color w:val="auto"/>
          <w:spacing w:val="0"/>
          <w:sz w:val="32"/>
          <w:szCs w:val="32"/>
        </w:rPr>
        <w:t>。</w:t>
      </w:r>
    </w:p>
    <w:p>
      <w:pPr>
        <w:pStyle w:val="14"/>
        <w:numPr>
          <w:ilvl w:val="0"/>
          <w:numId w:val="2"/>
        </w:numPr>
        <w:overflowPunct w:val="0"/>
        <w:autoSpaceDE/>
        <w:autoSpaceDN/>
        <w:spacing w:line="600" w:lineRule="exact"/>
        <w:ind w:left="0" w:leftChars="0"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color w:val="auto"/>
          <w:spacing w:val="0"/>
          <w:sz w:val="32"/>
          <w:szCs w:val="32"/>
          <w:lang w:val="en-US" w:eastAsia="zh-CN"/>
        </w:rPr>
        <w:t>城乡社区支出(类)</w:t>
      </w:r>
      <w:r>
        <w:rPr>
          <w:rFonts w:hint="eastAsia" w:ascii="Times New Roman" w:hAnsi="Times New Roman" w:eastAsia="仿宋_GB2312" w:cs="Times New Roman"/>
          <w:sz w:val="32"/>
          <w:szCs w:val="32"/>
          <w:lang w:val="en-US" w:eastAsia="zh-CN"/>
        </w:rPr>
        <w:t>其他城乡社区管理事务支出。</w:t>
      </w:r>
    </w:p>
    <w:p>
      <w:pPr>
        <w:pStyle w:val="14"/>
        <w:keepNext w:val="0"/>
        <w:keepLines w:val="0"/>
        <w:pageBreakBefore w:val="0"/>
        <w:kinsoku/>
        <w:overflowPunct/>
        <w:topLinePunct w:val="0"/>
        <w:bidi w:val="0"/>
        <w:snapToGrid/>
        <w:spacing w:line="600" w:lineRule="exact"/>
        <w:ind w:left="0" w:leftChars="0" w:right="0" w:firstLine="640" w:firstLineChars="200"/>
        <w:textAlignment w:val="auto"/>
        <w:rPr>
          <w:rFonts w:hint="default" w:ascii="Times New Roman" w:hAnsi="Times New Roman" w:eastAsia="仿宋_GB2312" w:cs="Times New Roman"/>
          <w:color w:val="auto"/>
          <w:spacing w:val="0"/>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0.36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0.36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color w:val="auto"/>
          <w:spacing w:val="0"/>
          <w:sz w:val="32"/>
          <w:szCs w:val="32"/>
          <w:lang w:val="en-US" w:eastAsia="zh-CN"/>
        </w:rPr>
        <w:t>决算数等于年初预算数的主要原因是:严格执行预算</w:t>
      </w:r>
      <w:r>
        <w:rPr>
          <w:rFonts w:hint="default" w:ascii="Times New Roman" w:hAnsi="Times New Roman" w:eastAsia="仿宋_GB2312" w:cs="Times New Roman"/>
          <w:color w:val="auto"/>
          <w:spacing w:val="0"/>
          <w:sz w:val="32"/>
          <w:szCs w:val="32"/>
        </w:rPr>
        <w:t>。</w:t>
      </w:r>
    </w:p>
    <w:p>
      <w:pPr>
        <w:pStyle w:val="14"/>
        <w:numPr>
          <w:ilvl w:val="0"/>
          <w:numId w:val="0"/>
        </w:numPr>
        <w:overflowPunct w:val="0"/>
        <w:autoSpaceDE/>
        <w:autoSpaceDN/>
        <w:spacing w:line="600" w:lineRule="exact"/>
        <w:ind w:leftChars="200"/>
        <w:jc w:val="both"/>
        <w:rPr>
          <w:rFonts w:hint="eastAsia" w:ascii="Times New Roman" w:hAnsi="Times New Roman" w:eastAsia="仿宋_GB2312" w:cs="Times New Roman"/>
          <w:sz w:val="32"/>
          <w:szCs w:val="32"/>
          <w:lang w:val="en-US" w:eastAsia="zh-CN"/>
        </w:rPr>
      </w:pP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45.39</w:t>
      </w:r>
      <w:r>
        <w:rPr>
          <w:rFonts w:ascii="Times New Roman" w:hAnsi="Times New Roman" w:eastAsia="仿宋_GB2312" w:cs="Times New Roman"/>
          <w:sz w:val="32"/>
          <w:szCs w:val="32"/>
        </w:rPr>
        <w:t>万元，其中：</w:t>
      </w:r>
    </w:p>
    <w:p>
      <w:pPr>
        <w:pStyle w:val="14"/>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b/>
          <w:bCs/>
          <w:sz w:val="32"/>
          <w:szCs w:val="32"/>
          <w:lang w:val="en-US" w:eastAsia="zh-CN"/>
        </w:rPr>
        <w:t>37.06</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81.65</w:t>
      </w:r>
      <w:r>
        <w:rPr>
          <w:rFonts w:ascii="Times New Roman" w:hAnsi="Times New Roman" w:eastAsia="仿宋_GB2312" w:cs="Times New Roman"/>
          <w:sz w:val="32"/>
          <w:szCs w:val="32"/>
        </w:rPr>
        <w:t>%,主要包括基本工资、津贴补贴、奖金、</w:t>
      </w:r>
      <w:r>
        <w:rPr>
          <w:rFonts w:hint="default" w:ascii="Times New Roman" w:hAnsi="Times New Roman" w:eastAsia="仿宋_GB2312" w:cs="Times New Roman"/>
          <w:color w:val="auto"/>
          <w:spacing w:val="0"/>
          <w:sz w:val="32"/>
          <w:szCs w:val="32"/>
        </w:rPr>
        <w:t>伙食补助费</w:t>
      </w:r>
      <w:r>
        <w:rPr>
          <w:rFonts w:hint="default" w:ascii="Times New Roman" w:hAnsi="Times New Roman" w:eastAsia="仿宋_GB2312" w:cs="Times New Roman"/>
          <w:color w:val="auto"/>
          <w:spacing w:val="0"/>
          <w:sz w:val="32"/>
          <w:szCs w:val="32"/>
          <w:lang w:eastAsia="zh-CN"/>
        </w:rPr>
        <w:t>、</w:t>
      </w:r>
      <w:r>
        <w:rPr>
          <w:rFonts w:hint="eastAsia" w:ascii="Times New Roman" w:hAnsi="Times New Roman" w:eastAsia="仿宋_GB2312" w:cs="Times New Roman"/>
          <w:color w:val="auto"/>
          <w:spacing w:val="0"/>
          <w:sz w:val="32"/>
          <w:szCs w:val="32"/>
          <w:lang w:eastAsia="zh-CN"/>
        </w:rPr>
        <w:t>绩效工资、机关事业单位基本养老保险费、职工基本医疗保险缴费、</w:t>
      </w:r>
      <w:r>
        <w:rPr>
          <w:rFonts w:hint="default" w:ascii="Times New Roman" w:hAnsi="Times New Roman" w:eastAsia="仿宋_GB2312" w:cs="Times New Roman"/>
          <w:color w:val="auto"/>
          <w:spacing w:val="0"/>
          <w:sz w:val="32"/>
          <w:szCs w:val="32"/>
        </w:rPr>
        <w:t>其他社会保障缴费</w:t>
      </w:r>
      <w:r>
        <w:rPr>
          <w:rFonts w:hint="eastAsia" w:ascii="Times New Roman" w:hAnsi="Times New Roman" w:eastAsia="仿宋_GB2312" w:cs="Times New Roman"/>
          <w:color w:val="auto"/>
          <w:spacing w:val="0"/>
          <w:sz w:val="32"/>
          <w:szCs w:val="32"/>
          <w:lang w:eastAsia="zh-CN"/>
        </w:rPr>
        <w:t>；</w:t>
      </w:r>
      <w:r>
        <w:rPr>
          <w:rFonts w:ascii="Times New Roman" w:hAnsi="Times New Roman" w:eastAsia="仿宋_GB2312" w:cs="Times New Roman"/>
          <w:b/>
          <w:bCs/>
          <w:sz w:val="32"/>
          <w:szCs w:val="32"/>
        </w:rPr>
        <w:t>公用经费</w:t>
      </w:r>
      <w:r>
        <w:rPr>
          <w:rFonts w:hint="eastAsia" w:ascii="Times New Roman" w:hAnsi="Times New Roman" w:eastAsia="仿宋_GB2312" w:cs="Times New Roman"/>
          <w:b/>
          <w:bCs/>
          <w:sz w:val="32"/>
          <w:szCs w:val="32"/>
          <w:lang w:val="en-US" w:eastAsia="zh-CN"/>
        </w:rPr>
        <w:t>8.33</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18.35</w:t>
      </w:r>
      <w:r>
        <w:rPr>
          <w:rFonts w:ascii="Times New Roman" w:hAnsi="Times New Roman" w:eastAsia="仿宋_GB2312" w:cs="Times New Roman"/>
          <w:sz w:val="32"/>
          <w:szCs w:val="32"/>
        </w:rPr>
        <w:t>%，主要包括办公费</w:t>
      </w:r>
      <w:r>
        <w:rPr>
          <w:rFonts w:hint="eastAsia" w:ascii="Times New Roman" w:hAnsi="Times New Roman" w:eastAsia="仿宋_GB2312" w:cs="Times New Roman"/>
          <w:color w:val="auto"/>
          <w:spacing w:val="0"/>
          <w:sz w:val="32"/>
          <w:szCs w:val="32"/>
          <w:lang w:eastAsia="zh-CN"/>
        </w:rPr>
        <w:t>、劳务费、工会经费、其他商品和服务支出、</w:t>
      </w:r>
      <w:r>
        <w:rPr>
          <w:rFonts w:ascii="Times New Roman" w:hAnsi="Times New Roman" w:eastAsia="仿宋_GB2312" w:cs="Times New Roman"/>
          <w:sz w:val="32"/>
          <w:szCs w:val="32"/>
        </w:rPr>
        <w:t>印刷费、咨询费、手续费。</w:t>
      </w:r>
    </w:p>
    <w:p>
      <w:pPr>
        <w:pStyle w:val="14"/>
        <w:numPr>
          <w:ilvl w:val="0"/>
          <w:numId w:val="3"/>
        </w:numPr>
        <w:overflowPunct w:val="0"/>
        <w:autoSpaceDE/>
        <w:autoSpaceDN/>
        <w:spacing w:line="600" w:lineRule="exact"/>
        <w:ind w:firstLine="640" w:firstLineChars="200"/>
        <w:jc w:val="both"/>
        <w:rPr>
          <w:rFonts w:hint="eastAsia" w:ascii="Times New Roman" w:hAnsi="Times New Roman" w:cs="Times New Roman"/>
          <w:bCs/>
          <w:sz w:val="32"/>
          <w:szCs w:val="32"/>
          <w:lang w:eastAsia="zh-CN"/>
        </w:rPr>
      </w:pPr>
      <w:r>
        <w:rPr>
          <w:rFonts w:ascii="Times New Roman" w:hAnsi="Times New Roman" w:cs="Times New Roman"/>
          <w:bCs/>
          <w:sz w:val="32"/>
          <w:szCs w:val="32"/>
        </w:rPr>
        <w:t>财政拨款“三公”经费支出决算情况说明</w:t>
      </w:r>
      <w:r>
        <w:rPr>
          <w:rFonts w:hint="eastAsia" w:ascii="Times New Roman" w:hAnsi="Times New Roman" w:cs="Times New Roman"/>
          <w:bCs/>
          <w:sz w:val="32"/>
          <w:szCs w:val="32"/>
          <w:lang w:eastAsia="zh-CN"/>
        </w:rPr>
        <w:t>。</w:t>
      </w:r>
    </w:p>
    <w:p>
      <w:pPr>
        <w:pStyle w:val="14"/>
        <w:numPr>
          <w:ilvl w:val="0"/>
          <w:numId w:val="0"/>
        </w:numPr>
        <w:overflowPunct w:val="0"/>
        <w:autoSpaceDE/>
        <w:autoSpaceDN/>
        <w:spacing w:line="600" w:lineRule="exact"/>
        <w:ind w:firstLine="320" w:firstLineChars="1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pPr>
        <w:pStyle w:val="14"/>
        <w:overflowPunct w:val="0"/>
        <w:autoSpaceDE/>
        <w:autoSpaceDN/>
        <w:spacing w:line="600" w:lineRule="exact"/>
        <w:ind w:firstLine="640" w:firstLineChars="200"/>
        <w:jc w:val="both"/>
        <w:rPr>
          <w:rFonts w:hint="eastAsia" w:ascii="Times New Roman" w:hAnsi="Times New Roman" w:eastAsia="仿宋_GB2312" w:cs="Times New Roman"/>
          <w:color w:val="auto"/>
          <w:spacing w:val="0"/>
          <w:sz w:val="32"/>
          <w:szCs w:val="32"/>
          <w:lang w:eastAsia="zh-CN"/>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r>
        <w:rPr>
          <w:rFonts w:hint="default" w:ascii="Times New Roman" w:hAnsi="Times New Roman" w:eastAsia="仿宋_GB2312" w:cs="Times New Roman"/>
          <w:color w:val="auto"/>
          <w:spacing w:val="0"/>
          <w:sz w:val="32"/>
          <w:szCs w:val="32"/>
        </w:rPr>
        <w:t>与上年</w:t>
      </w:r>
      <w:r>
        <w:rPr>
          <w:rFonts w:hint="eastAsia" w:ascii="Times New Roman" w:hAnsi="Times New Roman" w:eastAsia="仿宋_GB2312" w:cs="Times New Roman"/>
          <w:color w:val="auto"/>
          <w:spacing w:val="0"/>
          <w:sz w:val="32"/>
          <w:szCs w:val="32"/>
          <w:lang w:eastAsia="zh-CN"/>
        </w:rPr>
        <w:t>相比</w:t>
      </w:r>
      <w:r>
        <w:rPr>
          <w:rFonts w:hint="default" w:ascii="Times New Roman" w:hAnsi="Times New Roman" w:eastAsia="仿宋_GB2312" w:cs="Times New Roman"/>
          <w:color w:val="auto"/>
          <w:spacing w:val="0"/>
          <w:sz w:val="32"/>
          <w:szCs w:val="32"/>
          <w:lang w:eastAsia="zh-CN"/>
        </w:rPr>
        <w:t>持平</w:t>
      </w:r>
      <w:r>
        <w:rPr>
          <w:rFonts w:hint="eastAsia" w:ascii="Times New Roman" w:hAnsi="Times New Roman" w:eastAsia="仿宋_GB2312" w:cs="Times New Roman"/>
          <w:color w:val="auto"/>
          <w:spacing w:val="0"/>
          <w:sz w:val="32"/>
          <w:szCs w:val="32"/>
          <w:lang w:eastAsia="zh-CN"/>
        </w:rPr>
        <w:t>。</w:t>
      </w:r>
    </w:p>
    <w:p>
      <w:pPr>
        <w:pStyle w:val="14"/>
        <w:overflowPunct w:val="0"/>
        <w:autoSpaceDE/>
        <w:autoSpaceDN/>
        <w:spacing w:line="600" w:lineRule="exact"/>
        <w:ind w:firstLine="320" w:firstLineChars="1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pPr>
        <w:pStyle w:val="14"/>
        <w:keepNext w:val="0"/>
        <w:keepLines w:val="0"/>
        <w:pageBreakBefore w:val="0"/>
        <w:kinsoku/>
        <w:overflowPunct/>
        <w:topLinePunct w:val="0"/>
        <w:bidi w:val="0"/>
        <w:snapToGrid/>
        <w:spacing w:line="600" w:lineRule="exact"/>
        <w:ind w:left="0" w:leftChars="0" w:right="0" w:firstLine="640" w:firstLineChars="200"/>
        <w:textAlignment w:val="auto"/>
        <w:rPr>
          <w:rFonts w:hint="default" w:ascii="Times New Roman" w:hAnsi="Times New Roman" w:eastAsia="仿宋_GB2312" w:cs="Times New Roman"/>
          <w:color w:val="auto"/>
          <w:spacing w:val="0"/>
          <w:sz w:val="32"/>
          <w:szCs w:val="32"/>
          <w:lang w:eastAsia="zh-CN"/>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r>
        <w:rPr>
          <w:rFonts w:hint="default" w:ascii="Times New Roman" w:hAnsi="Times New Roman" w:eastAsia="仿宋_GB2312" w:cs="Times New Roman"/>
          <w:color w:val="auto"/>
          <w:spacing w:val="0"/>
          <w:sz w:val="32"/>
          <w:szCs w:val="32"/>
        </w:rPr>
        <w:t>与上年</w:t>
      </w:r>
      <w:r>
        <w:rPr>
          <w:rFonts w:hint="eastAsia" w:ascii="Times New Roman" w:hAnsi="Times New Roman" w:eastAsia="仿宋_GB2312" w:cs="Times New Roman"/>
          <w:color w:val="auto"/>
          <w:spacing w:val="0"/>
          <w:sz w:val="32"/>
          <w:szCs w:val="32"/>
          <w:lang w:eastAsia="zh-CN"/>
        </w:rPr>
        <w:t>相比</w:t>
      </w:r>
      <w:r>
        <w:rPr>
          <w:rFonts w:hint="default" w:ascii="Times New Roman" w:hAnsi="Times New Roman" w:eastAsia="仿宋_GB2312" w:cs="Times New Roman"/>
          <w:color w:val="auto"/>
          <w:spacing w:val="0"/>
          <w:sz w:val="32"/>
          <w:szCs w:val="32"/>
          <w:lang w:eastAsia="zh-CN"/>
        </w:rPr>
        <w:t>持平</w:t>
      </w:r>
      <w:r>
        <w:rPr>
          <w:rFonts w:hint="eastAsia" w:ascii="Times New Roman" w:hAnsi="Times New Roman" w:eastAsia="仿宋_GB2312" w:cs="Times New Roman"/>
          <w:color w:val="auto"/>
          <w:spacing w:val="0"/>
          <w:sz w:val="32"/>
          <w:szCs w:val="32"/>
          <w:lang w:eastAsia="zh-CN"/>
        </w:rPr>
        <w:t>，</w:t>
      </w:r>
      <w:r>
        <w:rPr>
          <w:rFonts w:hint="eastAsia" w:ascii="Times New Roman" w:hAnsi="Times New Roman" w:eastAsia="仿宋_GB2312" w:cs="Times New Roman"/>
          <w:color w:val="auto"/>
          <w:spacing w:val="0"/>
          <w:sz w:val="32"/>
          <w:szCs w:val="32"/>
          <w:lang w:val="en-US" w:eastAsia="zh-CN"/>
        </w:rPr>
        <w:t>持平的主要原因是无因公出国</w:t>
      </w:r>
      <w:r>
        <w:rPr>
          <w:rFonts w:hint="eastAsia" w:ascii="Times New Roman" w:hAnsi="Times New Roman" w:eastAsia="仿宋_GB2312" w:cs="Times New Roman"/>
          <w:b w:val="0"/>
          <w:bCs w:val="0"/>
          <w:color w:val="auto"/>
          <w:spacing w:val="0"/>
          <w:sz w:val="32"/>
          <w:szCs w:val="32"/>
          <w:lang w:val="en-US" w:eastAsia="zh-CN"/>
        </w:rPr>
        <w:t>(境)费支出</w:t>
      </w:r>
      <w:r>
        <w:rPr>
          <w:rFonts w:hint="default" w:ascii="Times New Roman" w:hAnsi="Times New Roman" w:eastAsia="仿宋_GB2312" w:cs="Times New Roman"/>
          <w:color w:val="auto"/>
          <w:spacing w:val="0"/>
          <w:sz w:val="32"/>
          <w:szCs w:val="32"/>
          <w:lang w:eastAsia="zh-CN"/>
        </w:rPr>
        <w:t>。</w:t>
      </w:r>
    </w:p>
    <w:p>
      <w:pPr>
        <w:pStyle w:val="14"/>
        <w:keepNext w:val="0"/>
        <w:keepLines w:val="0"/>
        <w:pageBreakBefore w:val="0"/>
        <w:kinsoku/>
        <w:overflowPunct/>
        <w:topLinePunct w:val="0"/>
        <w:bidi w:val="0"/>
        <w:snapToGrid/>
        <w:spacing w:line="600" w:lineRule="exact"/>
        <w:ind w:right="0" w:firstLine="640" w:firstLineChars="200"/>
        <w:textAlignment w:val="auto"/>
        <w:rPr>
          <w:rFonts w:hint="default" w:ascii="Times New Roman" w:hAnsi="Times New Roman" w:eastAsia="仿宋_GB2312" w:cs="Times New Roman"/>
          <w:color w:val="auto"/>
          <w:spacing w:val="0"/>
          <w:sz w:val="32"/>
          <w:szCs w:val="32"/>
          <w:lang w:eastAsia="zh-CN"/>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r>
        <w:rPr>
          <w:rFonts w:hint="default" w:ascii="Times New Roman" w:hAnsi="Times New Roman" w:eastAsia="仿宋_GB2312" w:cs="Times New Roman"/>
          <w:color w:val="auto"/>
          <w:spacing w:val="0"/>
          <w:sz w:val="32"/>
          <w:szCs w:val="32"/>
        </w:rPr>
        <w:t>与上年</w:t>
      </w:r>
      <w:r>
        <w:rPr>
          <w:rFonts w:hint="eastAsia" w:ascii="Times New Roman" w:hAnsi="Times New Roman" w:eastAsia="仿宋_GB2312" w:cs="Times New Roman"/>
          <w:color w:val="auto"/>
          <w:spacing w:val="0"/>
          <w:sz w:val="32"/>
          <w:szCs w:val="32"/>
          <w:lang w:eastAsia="zh-CN"/>
        </w:rPr>
        <w:t>相比</w:t>
      </w:r>
      <w:r>
        <w:rPr>
          <w:rFonts w:hint="default" w:ascii="Times New Roman" w:hAnsi="Times New Roman" w:eastAsia="仿宋_GB2312" w:cs="Times New Roman"/>
          <w:color w:val="auto"/>
          <w:spacing w:val="0"/>
          <w:sz w:val="32"/>
          <w:szCs w:val="32"/>
          <w:lang w:eastAsia="zh-CN"/>
        </w:rPr>
        <w:t>持平</w:t>
      </w:r>
      <w:r>
        <w:rPr>
          <w:rFonts w:hint="eastAsia" w:ascii="Times New Roman" w:hAnsi="Times New Roman" w:eastAsia="仿宋_GB2312" w:cs="Times New Roman"/>
          <w:color w:val="auto"/>
          <w:spacing w:val="0"/>
          <w:sz w:val="32"/>
          <w:szCs w:val="32"/>
          <w:lang w:eastAsia="zh-CN"/>
        </w:rPr>
        <w:t>，</w:t>
      </w:r>
      <w:r>
        <w:rPr>
          <w:rFonts w:hint="eastAsia" w:ascii="Times New Roman" w:hAnsi="Times New Roman" w:eastAsia="仿宋_GB2312" w:cs="Times New Roman"/>
          <w:color w:val="auto"/>
          <w:spacing w:val="0"/>
          <w:sz w:val="32"/>
          <w:szCs w:val="32"/>
          <w:lang w:val="en-US" w:eastAsia="zh-CN"/>
        </w:rPr>
        <w:t>持平的主要原因是无</w:t>
      </w:r>
      <w:r>
        <w:rPr>
          <w:rFonts w:ascii="Times New Roman" w:hAnsi="Times New Roman" w:eastAsia="仿宋_GB2312" w:cs="Times New Roman"/>
          <w:sz w:val="32"/>
          <w:szCs w:val="32"/>
        </w:rPr>
        <w:t>公务用车购置费及运行维护费</w:t>
      </w:r>
      <w:r>
        <w:rPr>
          <w:rFonts w:hint="eastAsia" w:ascii="Times New Roman" w:hAnsi="Times New Roman" w:eastAsia="仿宋_GB2312" w:cs="Times New Roman"/>
          <w:b w:val="0"/>
          <w:bCs w:val="0"/>
          <w:color w:val="auto"/>
          <w:spacing w:val="0"/>
          <w:sz w:val="32"/>
          <w:szCs w:val="32"/>
          <w:lang w:val="en-US" w:eastAsia="zh-CN"/>
        </w:rPr>
        <w:t>支出</w:t>
      </w:r>
      <w:r>
        <w:rPr>
          <w:rFonts w:hint="default" w:ascii="Times New Roman" w:hAnsi="Times New Roman" w:eastAsia="仿宋_GB2312" w:cs="Times New Roman"/>
          <w:color w:val="auto"/>
          <w:spacing w:val="0"/>
          <w:sz w:val="32"/>
          <w:szCs w:val="32"/>
          <w:lang w:eastAsia="zh-CN"/>
        </w:rPr>
        <w:t>。</w:t>
      </w:r>
    </w:p>
    <w:p>
      <w:pPr>
        <w:pStyle w:val="14"/>
        <w:keepNext w:val="0"/>
        <w:keepLines w:val="0"/>
        <w:pageBreakBefore w:val="0"/>
        <w:kinsoku/>
        <w:overflowPunct/>
        <w:topLinePunct w:val="0"/>
        <w:bidi w:val="0"/>
        <w:snapToGrid/>
        <w:spacing w:line="600" w:lineRule="exact"/>
        <w:ind w:right="0" w:firstLine="640" w:firstLineChars="200"/>
        <w:textAlignment w:val="auto"/>
        <w:rPr>
          <w:rFonts w:hint="eastAsia" w:ascii="Times New Roman" w:hAnsi="Times New Roman" w:eastAsia="仿宋_GB2312" w:cs="Times New Roman"/>
          <w:color w:val="auto"/>
          <w:spacing w:val="0"/>
          <w:sz w:val="32"/>
          <w:szCs w:val="32"/>
          <w:lang w:eastAsia="zh-CN"/>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r>
        <w:rPr>
          <w:rFonts w:hint="default" w:ascii="Times New Roman" w:hAnsi="Times New Roman" w:eastAsia="仿宋_GB2312" w:cs="Times New Roman"/>
          <w:color w:val="auto"/>
          <w:spacing w:val="0"/>
          <w:sz w:val="32"/>
          <w:szCs w:val="32"/>
        </w:rPr>
        <w:t>与上年</w:t>
      </w:r>
      <w:r>
        <w:rPr>
          <w:rFonts w:hint="eastAsia" w:ascii="Times New Roman" w:hAnsi="Times New Roman" w:eastAsia="仿宋_GB2312" w:cs="Times New Roman"/>
          <w:color w:val="auto"/>
          <w:spacing w:val="0"/>
          <w:sz w:val="32"/>
          <w:szCs w:val="32"/>
          <w:lang w:eastAsia="zh-CN"/>
        </w:rPr>
        <w:t>相比</w:t>
      </w:r>
      <w:r>
        <w:rPr>
          <w:rFonts w:hint="default" w:ascii="Times New Roman" w:hAnsi="Times New Roman" w:eastAsia="仿宋_GB2312" w:cs="Times New Roman"/>
          <w:color w:val="auto"/>
          <w:spacing w:val="0"/>
          <w:sz w:val="32"/>
          <w:szCs w:val="32"/>
          <w:lang w:eastAsia="zh-CN"/>
        </w:rPr>
        <w:t>持平</w:t>
      </w:r>
      <w:r>
        <w:rPr>
          <w:rFonts w:hint="eastAsia" w:ascii="Times New Roman" w:hAnsi="Times New Roman" w:eastAsia="仿宋_GB2312" w:cs="Times New Roman"/>
          <w:color w:val="auto"/>
          <w:spacing w:val="0"/>
          <w:sz w:val="32"/>
          <w:szCs w:val="32"/>
          <w:lang w:eastAsia="zh-CN"/>
        </w:rPr>
        <w:t>，</w:t>
      </w:r>
      <w:r>
        <w:rPr>
          <w:rFonts w:hint="eastAsia" w:ascii="Times New Roman" w:hAnsi="Times New Roman" w:eastAsia="仿宋_GB2312" w:cs="Times New Roman"/>
          <w:color w:val="auto"/>
          <w:spacing w:val="0"/>
          <w:sz w:val="32"/>
          <w:szCs w:val="32"/>
          <w:lang w:val="en-US" w:eastAsia="zh-CN"/>
        </w:rPr>
        <w:t>持平的主要原因是无</w:t>
      </w:r>
      <w:r>
        <w:rPr>
          <w:rFonts w:ascii="Times New Roman" w:hAnsi="Times New Roman" w:eastAsia="仿宋_GB2312" w:cs="Times New Roman"/>
          <w:sz w:val="32"/>
          <w:szCs w:val="32"/>
        </w:rPr>
        <w:t>公务接待费支出</w:t>
      </w:r>
      <w:r>
        <w:rPr>
          <w:rFonts w:hint="eastAsia" w:ascii="Times New Roman" w:hAnsi="Times New Roman" w:eastAsia="仿宋_GB2312" w:cs="Times New Roman"/>
          <w:sz w:val="32"/>
          <w:szCs w:val="32"/>
          <w:lang w:eastAsia="zh-CN"/>
        </w:rPr>
        <w:t>。</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default" w:ascii="Times New Roman" w:hAnsi="Times New Roman" w:eastAsia="仿宋_GB2312" w:cs="Times New Roman"/>
          <w:color w:val="auto"/>
          <w:spacing w:val="0"/>
          <w:sz w:val="32"/>
          <w:szCs w:val="32"/>
        </w:rPr>
        <w:t>202</w:t>
      </w:r>
      <w:r>
        <w:rPr>
          <w:rFonts w:hint="eastAsia" w:ascii="Times New Roman" w:hAnsi="Times New Roman" w:eastAsia="仿宋_GB2312" w:cs="Times New Roman"/>
          <w:color w:val="auto"/>
          <w:spacing w:val="0"/>
          <w:sz w:val="32"/>
          <w:szCs w:val="32"/>
          <w:lang w:val="en-US" w:eastAsia="zh-CN"/>
        </w:rPr>
        <w:t>4</w:t>
      </w:r>
      <w:r>
        <w:rPr>
          <w:rFonts w:hint="default" w:ascii="Times New Roman" w:hAnsi="Times New Roman" w:eastAsia="仿宋_GB2312" w:cs="Times New Roman"/>
          <w:color w:val="auto"/>
          <w:spacing w:val="0"/>
          <w:sz w:val="32"/>
          <w:szCs w:val="32"/>
        </w:rPr>
        <w:t>年度本单位无政府性基金收支</w:t>
      </w:r>
      <w:r>
        <w:rPr>
          <w:rFonts w:hint="default" w:ascii="Times New Roman" w:hAnsi="Times New Roman" w:eastAsia="仿宋_GB2312" w:cs="Times New Roman"/>
          <w:color w:val="auto"/>
          <w:spacing w:val="0"/>
          <w:sz w:val="32"/>
          <w:szCs w:val="32"/>
          <w:lang w:eastAsia="zh-CN"/>
        </w:rPr>
        <w:t>。</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九、关于机关运行经费支出说明</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，与上年相比持平</w:t>
      </w:r>
      <w:r>
        <w:rPr>
          <w:rFonts w:hint="eastAsia" w:ascii="Times New Roman" w:hAnsi="Times New Roman" w:eastAsia="仿宋_GB2312" w:cs="Times New Roman"/>
          <w:sz w:val="32"/>
          <w:szCs w:val="32"/>
          <w:lang w:val="en-US" w:eastAsia="zh-CN"/>
        </w:rPr>
        <w:t>,持平的主要原因是基地严格遵循预算管理规定,按照实际工作需求和往年支出情况,在执行过程中没有出现预算外的支出情况。</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十、一般性支出情况说明</w:t>
      </w:r>
    </w:p>
    <w:p>
      <w:pPr>
        <w:pStyle w:val="14"/>
        <w:overflowPunct w:val="0"/>
        <w:autoSpaceDE/>
        <w:autoSpaceDN/>
        <w:spacing w:line="600" w:lineRule="exact"/>
        <w:ind w:firstLine="640" w:firstLineChars="200"/>
        <w:jc w:val="both"/>
        <w:rPr>
          <w:rFonts w:hint="eastAsia" w:ascii="Times New Roman" w:hAnsi="Times New Roman" w:eastAsia="仿宋_GB2312" w:cs="Times New Roman"/>
          <w:b/>
          <w:bCs/>
          <w:i/>
          <w:color w:val="auto"/>
          <w:sz w:val="32"/>
          <w:szCs w:val="32"/>
          <w:lang w:eastAsia="zh-CN"/>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万元，用于召开</w:t>
      </w:r>
      <w:r>
        <w:rPr>
          <w:rFonts w:hint="eastAsia" w:ascii="Times New Roman" w:hAnsi="Times New Roman" w:eastAsia="仿宋_GB2312" w:cs="Times New Roman"/>
          <w:sz w:val="32"/>
          <w:szCs w:val="32"/>
          <w:lang w:val="en-US" w:eastAsia="zh-CN"/>
        </w:rPr>
        <w:t>0次</w:t>
      </w:r>
      <w:r>
        <w:rPr>
          <w:rFonts w:ascii="Times New Roman" w:hAnsi="Times New Roman" w:eastAsia="仿宋_GB2312" w:cs="Times New Roman"/>
          <w:sz w:val="32"/>
          <w:szCs w:val="32"/>
        </w:rPr>
        <w:t>会议，人数</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人；开支培训费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万元，用于开展</w:t>
      </w:r>
      <w:r>
        <w:rPr>
          <w:rFonts w:hint="eastAsia" w:ascii="Times New Roman" w:hAnsi="Times New Roman" w:eastAsia="仿宋_GB2312" w:cs="Times New Roman"/>
          <w:sz w:val="32"/>
          <w:szCs w:val="32"/>
          <w:lang w:val="en-US" w:eastAsia="zh-CN"/>
        </w:rPr>
        <w:t>0次</w:t>
      </w:r>
      <w:r>
        <w:rPr>
          <w:rFonts w:ascii="Times New Roman" w:hAnsi="Times New Roman" w:eastAsia="仿宋_GB2312" w:cs="Times New Roman"/>
          <w:sz w:val="32"/>
          <w:szCs w:val="32"/>
        </w:rPr>
        <w:t>培训，人数</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人；举办</w:t>
      </w:r>
      <w:r>
        <w:rPr>
          <w:rFonts w:hint="eastAsia" w:ascii="Times New Roman" w:hAnsi="Times New Roman" w:eastAsia="仿宋_GB2312" w:cs="Times New Roman"/>
          <w:sz w:val="32"/>
          <w:szCs w:val="32"/>
          <w:lang w:val="en-US" w:eastAsia="zh-CN"/>
        </w:rPr>
        <w:t>0次</w:t>
      </w:r>
      <w:r>
        <w:rPr>
          <w:rFonts w:ascii="Times New Roman" w:hAnsi="Times New Roman" w:eastAsia="仿宋_GB2312" w:cs="Times New Roman"/>
          <w:sz w:val="32"/>
          <w:szCs w:val="32"/>
        </w:rPr>
        <w:t>等节庆、晚会、论坛、赛事活动，开支</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十一、关于政府采购支出说明</w:t>
      </w:r>
    </w:p>
    <w:p>
      <w:pPr>
        <w:pStyle w:val="14"/>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20.26</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20.26</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20.26</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20.26</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w:t>
      </w:r>
    </w:p>
    <w:p>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十二、关于国有资产占用情况说明</w:t>
      </w:r>
    </w:p>
    <w:p>
      <w:pPr>
        <w:pStyle w:val="14"/>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pPr>
        <w:pStyle w:val="14"/>
        <w:keepNext w:val="0"/>
        <w:keepLines w:val="0"/>
        <w:pageBreakBefore w:val="0"/>
        <w:kinsoku/>
        <w:overflowPunct/>
        <w:topLinePunct w:val="0"/>
        <w:bidi w:val="0"/>
        <w:snapToGrid/>
        <w:spacing w:line="600" w:lineRule="exact"/>
        <w:ind w:left="0" w:leftChars="0" w:right="0" w:firstLine="640" w:firstLineChars="200"/>
        <w:jc w:val="both"/>
        <w:textAlignment w:val="auto"/>
        <w:rPr>
          <w:rFonts w:hint="default" w:ascii="Times New Roman" w:hAnsi="Times New Roman" w:eastAsia="仿宋_GB2312" w:cs="Times New Roman"/>
          <w:color w:val="3C3C3C"/>
          <w:spacing w:val="0"/>
          <w:sz w:val="32"/>
          <w:szCs w:val="32"/>
          <w:shd w:val="clear" w:color="auto" w:fill="FFFFFF"/>
        </w:rPr>
      </w:pPr>
      <w:r>
        <w:rPr>
          <w:rFonts w:hint="eastAsia" w:ascii="Times New Roman" w:hAnsi="Times New Roman" w:eastAsia="仿宋_GB2312" w:cs="Times New Roman"/>
          <w:color w:val="auto"/>
          <w:spacing w:val="0"/>
          <w:kern w:val="2"/>
          <w:sz w:val="32"/>
          <w:szCs w:val="32"/>
          <w:lang w:val="en-US" w:eastAsia="zh-CN" w:bidi="ar-SA"/>
        </w:rPr>
        <w:t>本部门2024年整体</w:t>
      </w:r>
      <w:r>
        <w:rPr>
          <w:rFonts w:hint="default" w:ascii="Times New Roman" w:hAnsi="Times New Roman" w:eastAsia="仿宋_GB2312" w:cs="Times New Roman"/>
          <w:color w:val="auto"/>
          <w:spacing w:val="0"/>
          <w:kern w:val="2"/>
          <w:sz w:val="32"/>
          <w:szCs w:val="32"/>
          <w:lang w:val="en-US" w:eastAsia="zh-CN" w:bidi="ar-SA"/>
        </w:rPr>
        <w:t>支出</w:t>
      </w:r>
      <w:r>
        <w:rPr>
          <w:rFonts w:hint="eastAsia" w:ascii="Times New Roman" w:hAnsi="Times New Roman" w:eastAsia="仿宋_GB2312" w:cs="Times New Roman"/>
          <w:color w:val="auto"/>
          <w:spacing w:val="0"/>
          <w:kern w:val="2"/>
          <w:sz w:val="32"/>
          <w:szCs w:val="32"/>
          <w:lang w:val="en-US" w:eastAsia="zh-CN" w:bidi="ar-SA"/>
        </w:rPr>
        <w:t>94.00</w:t>
      </w:r>
      <w:r>
        <w:rPr>
          <w:rFonts w:hint="default" w:ascii="Times New Roman" w:hAnsi="Times New Roman" w:eastAsia="仿宋_GB2312" w:cs="Times New Roman"/>
          <w:color w:val="auto"/>
          <w:spacing w:val="0"/>
          <w:kern w:val="2"/>
          <w:sz w:val="32"/>
          <w:szCs w:val="32"/>
          <w:lang w:val="en-US" w:eastAsia="zh-CN" w:bidi="ar-SA"/>
        </w:rPr>
        <w:t>万元。其中，基本支出</w:t>
      </w:r>
      <w:r>
        <w:rPr>
          <w:rFonts w:hint="eastAsia" w:ascii="Times New Roman" w:hAnsi="Times New Roman" w:eastAsia="仿宋_GB2312" w:cs="Times New Roman"/>
          <w:color w:val="auto"/>
          <w:spacing w:val="0"/>
          <w:kern w:val="2"/>
          <w:sz w:val="32"/>
          <w:szCs w:val="32"/>
          <w:lang w:val="en-US" w:eastAsia="zh-CN" w:bidi="ar-SA"/>
        </w:rPr>
        <w:t>45.39</w:t>
      </w:r>
      <w:r>
        <w:rPr>
          <w:rFonts w:hint="default" w:ascii="Times New Roman" w:hAnsi="Times New Roman" w:eastAsia="仿宋_GB2312" w:cs="Times New Roman"/>
          <w:color w:val="auto"/>
          <w:spacing w:val="0"/>
          <w:kern w:val="2"/>
          <w:sz w:val="32"/>
          <w:szCs w:val="32"/>
          <w:lang w:val="en-US" w:eastAsia="zh-CN" w:bidi="ar-SA"/>
        </w:rPr>
        <w:t>万元，项目支出</w:t>
      </w:r>
      <w:r>
        <w:rPr>
          <w:rFonts w:hint="eastAsia" w:ascii="Times New Roman" w:hAnsi="Times New Roman" w:eastAsia="仿宋_GB2312" w:cs="Times New Roman"/>
          <w:color w:val="auto"/>
          <w:spacing w:val="0"/>
          <w:kern w:val="2"/>
          <w:sz w:val="32"/>
          <w:szCs w:val="32"/>
          <w:lang w:val="en-US" w:eastAsia="zh-CN" w:bidi="ar-SA"/>
        </w:rPr>
        <w:t>48.61</w:t>
      </w:r>
      <w:r>
        <w:rPr>
          <w:rFonts w:hint="default" w:ascii="Times New Roman" w:hAnsi="Times New Roman" w:eastAsia="仿宋_GB2312" w:cs="Times New Roman"/>
          <w:color w:val="auto"/>
          <w:spacing w:val="0"/>
          <w:kern w:val="2"/>
          <w:sz w:val="32"/>
          <w:szCs w:val="32"/>
          <w:lang w:val="en-US" w:eastAsia="zh-CN" w:bidi="ar-SA"/>
        </w:rPr>
        <w:t>万元</w:t>
      </w:r>
      <w:r>
        <w:rPr>
          <w:rFonts w:hint="eastAsia" w:ascii="Times New Roman" w:hAnsi="Times New Roman" w:eastAsia="仿宋_GB2312" w:cs="Times New Roman"/>
          <w:color w:val="auto"/>
          <w:spacing w:val="0"/>
          <w:kern w:val="2"/>
          <w:sz w:val="32"/>
          <w:szCs w:val="32"/>
          <w:lang w:val="en-US" w:eastAsia="zh-CN" w:bidi="ar-SA"/>
        </w:rPr>
        <w:t>,本年度重点项目支出0万元</w:t>
      </w:r>
      <w:r>
        <w:rPr>
          <w:rFonts w:hint="default" w:ascii="Times New Roman" w:hAnsi="Times New Roman" w:eastAsia="仿宋_GB2312" w:cs="Times New Roman"/>
          <w:color w:val="auto"/>
          <w:spacing w:val="0"/>
          <w:kern w:val="2"/>
          <w:sz w:val="32"/>
          <w:szCs w:val="32"/>
          <w:lang w:val="en-US" w:eastAsia="zh-CN" w:bidi="ar-SA"/>
        </w:rPr>
        <w:t>。其中：基本支出主要列支人员工资福利和公用工作经费。</w:t>
      </w:r>
    </w:p>
    <w:p>
      <w:pPr>
        <w:pStyle w:val="14"/>
        <w:keepNext w:val="0"/>
        <w:keepLines w:val="0"/>
        <w:pageBreakBefore w:val="0"/>
        <w:kinsoku/>
        <w:overflowPunct/>
        <w:topLinePunct w:val="0"/>
        <w:bidi w:val="0"/>
        <w:snapToGrid/>
        <w:spacing w:line="600" w:lineRule="exact"/>
        <w:ind w:left="0" w:leftChars="0" w:right="0" w:firstLine="640" w:firstLineChars="200"/>
        <w:jc w:val="both"/>
        <w:textAlignment w:val="auto"/>
        <w:rPr>
          <w:rFonts w:hint="default" w:ascii="Times New Roman" w:hAnsi="Times New Roman" w:eastAsia="仿宋_GB2312" w:cs="Times New Roman"/>
          <w:color w:val="auto"/>
          <w:spacing w:val="0"/>
          <w:kern w:val="2"/>
          <w:sz w:val="32"/>
          <w:szCs w:val="32"/>
          <w:lang w:val="en-US" w:eastAsia="zh-CN" w:bidi="ar-SA"/>
        </w:rPr>
      </w:pPr>
      <w:r>
        <w:rPr>
          <w:rFonts w:hint="eastAsia" w:ascii="Times New Roman" w:hAnsi="Times New Roman" w:eastAsia="仿宋_GB2312" w:cs="Times New Roman"/>
          <w:color w:val="auto"/>
          <w:spacing w:val="0"/>
          <w:kern w:val="2"/>
          <w:sz w:val="32"/>
          <w:szCs w:val="32"/>
          <w:lang w:val="en-US" w:eastAsia="zh-CN" w:bidi="ar-SA"/>
        </w:rPr>
        <w:t>本</w:t>
      </w:r>
      <w:r>
        <w:rPr>
          <w:rFonts w:hint="default" w:ascii="Times New Roman" w:hAnsi="Times New Roman" w:eastAsia="仿宋_GB2312" w:cs="Times New Roman"/>
          <w:color w:val="auto"/>
          <w:spacing w:val="0"/>
          <w:kern w:val="2"/>
          <w:sz w:val="32"/>
          <w:szCs w:val="32"/>
          <w:lang w:val="en-US" w:eastAsia="zh-CN" w:bidi="ar-SA"/>
        </w:rPr>
        <w:t>单位按照县财政局绩效管理股的要求，从预算的执行、控制与调整，决算与绩效评价等方面对专项资金进行管理，做到了专项资金预算编制有目标、预算执行有监控、预算完成有评价、评价结果有反馈、反馈结果有应用。</w:t>
      </w:r>
    </w:p>
    <w:p>
      <w:pPr>
        <w:pStyle w:val="14"/>
        <w:numPr>
          <w:ilvl w:val="0"/>
          <w:numId w:val="4"/>
        </w:numPr>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rPr>
      </w:pPr>
      <w:r>
        <w:rPr>
          <w:rFonts w:ascii="Times New Roman" w:hAnsi="Times New Roman" w:eastAsia="楷体_GB2312" w:cs="Times New Roman"/>
          <w:b/>
          <w:bCs/>
          <w:color w:val="auto"/>
          <w:kern w:val="2"/>
          <w:sz w:val="32"/>
          <w:szCs w:val="32"/>
        </w:rPr>
        <w:t>评价结果应用情况。</w:t>
      </w:r>
    </w:p>
    <w:p>
      <w:pPr>
        <w:pStyle w:val="14"/>
        <w:numPr>
          <w:ilvl w:val="0"/>
          <w:numId w:val="0"/>
        </w:numPr>
        <w:overflowPunct w:val="0"/>
        <w:autoSpaceDE/>
        <w:autoSpaceDN/>
        <w:spacing w:line="600" w:lineRule="exact"/>
        <w:jc w:val="both"/>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 xml:space="preserve"> </w:t>
      </w:r>
      <w:r>
        <w:rPr>
          <w:rFonts w:hint="eastAsia" w:ascii="Times New Roman" w:hAnsi="Times New Roman" w:eastAsia="仿宋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rPr>
        <w:t>2024年度民兵训练基地决算评价工作全面、客观地反映了基地的资金使用效益和工作执行情况。基于绩效自评结果、部门评价结果以及财政评价结果，我们对2025年度预算安排、支出结构调整和资金管理制度建设等方面进行了如下优化与应用：</w:t>
      </w:r>
    </w:p>
    <w:p>
      <w:pPr>
        <w:pStyle w:val="14"/>
        <w:numPr>
          <w:ilvl w:val="0"/>
          <w:numId w:val="0"/>
        </w:numPr>
        <w:overflowPunct w:val="0"/>
        <w:autoSpaceDE/>
        <w:autoSpaceDN/>
        <w:spacing w:line="600" w:lineRule="exact"/>
        <w:jc w:val="both"/>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 xml:space="preserve"> </w:t>
      </w:r>
      <w:r>
        <w:rPr>
          <w:rFonts w:hint="eastAsia" w:ascii="Times New Roman" w:hAnsi="Times New Roman" w:eastAsia="仿宋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rPr>
        <w:t>一、2025年度预算安排调整</w:t>
      </w:r>
    </w:p>
    <w:p>
      <w:pPr>
        <w:pStyle w:val="14"/>
        <w:numPr>
          <w:ilvl w:val="0"/>
          <w:numId w:val="0"/>
        </w:numPr>
        <w:overflowPunct w:val="0"/>
        <w:autoSpaceDE/>
        <w:autoSpaceDN/>
        <w:spacing w:line="600" w:lineRule="exact"/>
        <w:jc w:val="both"/>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 xml:space="preserve"> 1. 精准预算编制：依据2024年决算评价中关于各项训练任务成本的分析，对2025年预算进行精细化编制。如在民兵战术训练预算中，根据去年训练物资实际消耗和训练时长，更精确地安排训练器材购置、场地租赁等费用，避免预算偏差。</w:t>
      </w:r>
    </w:p>
    <w:p>
      <w:pPr>
        <w:pStyle w:val="14"/>
        <w:numPr>
          <w:ilvl w:val="0"/>
          <w:numId w:val="0"/>
        </w:numPr>
        <w:overflowPunct w:val="0"/>
        <w:autoSpaceDE/>
        <w:autoSpaceDN/>
        <w:spacing w:line="600" w:lineRule="exact"/>
        <w:jc w:val="both"/>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rPr>
        <w:t>2. 重点项目倾斜：对于在2024年评价中成效显著的项目，如国防教育进校园活动，2025年加大预算支持</w:t>
      </w:r>
      <w:r>
        <w:rPr>
          <w:rFonts w:hint="eastAsia" w:ascii="Times New Roman" w:hAnsi="Times New Roman" w:eastAsia="仿宋_GB2312" w:cs="Times New Roman"/>
          <w:color w:val="auto"/>
          <w:sz w:val="32"/>
          <w:szCs w:val="32"/>
          <w:lang w:eastAsia="zh-CN"/>
        </w:rPr>
        <w:t>。</w:t>
      </w:r>
    </w:p>
    <w:p>
      <w:pPr>
        <w:pStyle w:val="14"/>
        <w:numPr>
          <w:ilvl w:val="0"/>
          <w:numId w:val="0"/>
        </w:numPr>
        <w:overflowPunct w:val="0"/>
        <w:autoSpaceDE/>
        <w:autoSpaceDN/>
        <w:spacing w:line="600" w:lineRule="exact"/>
        <w:jc w:val="both"/>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3. 弹性预算设置：考虑到训练任务可能因应急情况或政策调整发生变化，在2025年预算中预留一定比例的弹性资金，用于应对临时性训练任务或突发情况，确保训练工作不受资金制约。</w:t>
      </w:r>
    </w:p>
    <w:p>
      <w:pPr>
        <w:pStyle w:val="14"/>
        <w:numPr>
          <w:ilvl w:val="0"/>
          <w:numId w:val="0"/>
        </w:numPr>
        <w:overflowPunct w:val="0"/>
        <w:autoSpaceDE/>
        <w:autoSpaceDN/>
        <w:spacing w:line="600" w:lineRule="exact"/>
        <w:jc w:val="both"/>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 xml:space="preserve"> 二、支出结构优化调整</w:t>
      </w:r>
    </w:p>
    <w:p>
      <w:pPr>
        <w:pStyle w:val="14"/>
        <w:numPr>
          <w:ilvl w:val="0"/>
          <w:numId w:val="0"/>
        </w:numPr>
        <w:overflowPunct w:val="0"/>
        <w:autoSpaceDE/>
        <w:autoSpaceDN/>
        <w:spacing w:line="600" w:lineRule="exact"/>
        <w:jc w:val="both"/>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 xml:space="preserve"> 1. 资源合理分配：参考2024年评价中各项目资金使用效率，减少对低效项目的投入，将资金更多地投向核心训练任务和关键保障环节。</w:t>
      </w:r>
    </w:p>
    <w:p>
      <w:pPr>
        <w:pStyle w:val="14"/>
        <w:numPr>
          <w:ilvl w:val="0"/>
          <w:numId w:val="0"/>
        </w:numPr>
        <w:overflowPunct w:val="0"/>
        <w:autoSpaceDE/>
        <w:autoSpaceDN/>
        <w:spacing w:line="600" w:lineRule="exact"/>
        <w:jc w:val="both"/>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2. 保障基础建设：针对评价中指出的训练场地设施老化问题，2025年加大对基础设施建设和维护的支出。计划对部分训练场地进行升级改造，提升训练安全性和舒适度，为训练工作提供更好的硬件支持。</w:t>
      </w:r>
    </w:p>
    <w:p>
      <w:pPr>
        <w:pStyle w:val="14"/>
        <w:numPr>
          <w:ilvl w:val="0"/>
          <w:numId w:val="0"/>
        </w:numPr>
        <w:overflowPunct w:val="0"/>
        <w:autoSpaceDE/>
        <w:autoSpaceDN/>
        <w:spacing w:line="600" w:lineRule="exact"/>
        <w:jc w:val="both"/>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3. 控制行政成本：严格控制机关运行经费支出，在保证工作正常开展的前提下，减少不必要的行政开支，如精简会议、优化办公用品采购流程等，将更多资金用于民兵训练和服务保障。</w:t>
      </w:r>
    </w:p>
    <w:p>
      <w:pPr>
        <w:pStyle w:val="14"/>
        <w:numPr>
          <w:ilvl w:val="0"/>
          <w:numId w:val="0"/>
        </w:numPr>
        <w:overflowPunct w:val="0"/>
        <w:autoSpaceDE/>
        <w:autoSpaceDN/>
        <w:spacing w:line="600" w:lineRule="exact"/>
        <w:jc w:val="both"/>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 xml:space="preserve"> 三、资金管理制度建设完善</w:t>
      </w:r>
    </w:p>
    <w:p>
      <w:pPr>
        <w:pStyle w:val="14"/>
        <w:numPr>
          <w:ilvl w:val="0"/>
          <w:numId w:val="0"/>
        </w:numPr>
        <w:overflowPunct w:val="0"/>
        <w:autoSpaceDE/>
        <w:autoSpaceDN/>
        <w:spacing w:line="600" w:lineRule="exact"/>
        <w:jc w:val="both"/>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 xml:space="preserve"> 1. 强化预算执行监督：建立健全预算执行跟踪机制，定期对预算执行情况进行检查和分析，及时发现并纠正预算执行中的偏差。每月对各项支出进行统计分析，对进度缓慢或超预算的项目进行重点监控和调整。</w:t>
      </w:r>
    </w:p>
    <w:p>
      <w:pPr>
        <w:pStyle w:val="14"/>
        <w:numPr>
          <w:ilvl w:val="0"/>
          <w:numId w:val="0"/>
        </w:numPr>
        <w:overflowPunct w:val="0"/>
        <w:autoSpaceDE/>
        <w:autoSpaceDN/>
        <w:spacing w:line="600" w:lineRule="exact"/>
        <w:jc w:val="both"/>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2. 规范资金审批流程：完善资金审批制度，明确审批权限和流程，确保每一笔资金的使用都经过严格审核。对大额资金支出实行集体决策和联签制度，加强资金使用的风险防控。</w:t>
      </w:r>
    </w:p>
    <w:p>
      <w:pPr>
        <w:pStyle w:val="14"/>
        <w:numPr>
          <w:ilvl w:val="0"/>
          <w:numId w:val="0"/>
        </w:numPr>
        <w:overflowPunct w:val="0"/>
        <w:autoSpaceDE/>
        <w:autoSpaceDN/>
        <w:spacing w:line="600" w:lineRule="exact"/>
        <w:jc w:val="both"/>
        <w:rPr>
          <w:rFonts w:ascii="Times New Roman" w:hAnsi="Times New Roman" w:eastAsia="仿宋_GB2312" w:cs="Times New Roman"/>
          <w:color w:val="auto"/>
          <w:sz w:val="72"/>
          <w:szCs w:val="72"/>
        </w:rPr>
      </w:pPr>
      <w:r>
        <w:rPr>
          <w:rFonts w:hint="eastAsia" w:ascii="Times New Roman" w:hAnsi="Times New Roman" w:eastAsia="仿宋_GB2312" w:cs="Times New Roman"/>
          <w:color w:val="auto"/>
          <w:sz w:val="32"/>
          <w:szCs w:val="32"/>
        </w:rPr>
        <w:t>3. 加强绩效评价结果应用：将绩效评价结果作为资金分配和调整的重要依据，对绩效评价优秀的项目给予奖励和优先支持，对绩效不达标项目进行整改或削减资金。建立绩效评价结果反馈机制，将评价结果反馈给相关部门和责任人，促进工作改进和提升。</w:t>
      </w: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both"/>
        <w:rPr>
          <w:rFonts w:ascii="Times New Roman" w:hAnsi="Times New Roman" w:cs="Times New Roman"/>
          <w:sz w:val="72"/>
          <w:szCs w:val="72"/>
        </w:rPr>
      </w:pPr>
    </w:p>
    <w:p>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pPr>
        <w:widowControl/>
        <w:jc w:val="left"/>
        <w:rPr>
          <w:rFonts w:ascii="Times New Roman" w:hAnsi="Times New Roman" w:cs="Times New Roman"/>
          <w:color w:val="000000"/>
          <w:kern w:val="0"/>
          <w:sz w:val="32"/>
          <w:szCs w:val="32"/>
        </w:rPr>
      </w:pPr>
    </w:p>
    <w:p>
      <w:pPr>
        <w:widowControl/>
        <w:ind w:firstLine="640" w:firstLineChars="200"/>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一、</w:t>
      </w:r>
      <w:r>
        <w:rPr>
          <w:rFonts w:ascii="Times New Roman" w:hAnsi="Times New Roman" w:eastAsia="仿宋_GB2312" w:cs="Times New Roman"/>
          <w:b/>
          <w:bCs/>
          <w:color w:val="000000"/>
          <w:kern w:val="0"/>
          <w:sz w:val="32"/>
          <w:szCs w:val="32"/>
          <w:lang w:val="en-US"/>
        </w:rPr>
        <w:t>机关运行经费</w:t>
      </w:r>
      <w:r>
        <w:rPr>
          <w:rFonts w:ascii="Times New Roman" w:hAnsi="Times New Roman" w:eastAsia="仿宋_GB2312" w:cs="Times New Roman"/>
          <w:color w:val="000000"/>
          <w:kern w:val="0"/>
          <w:sz w:val="32"/>
          <w:szCs w:val="32"/>
          <w:lang w:val="en-US"/>
        </w:rPr>
        <w:t>。是指各部门的公用经费，包括办公及印刷费、邮电费、差旅费、会议费、福利费、日常维修费、专用资料及一般设备购置费、办公用房水电费、办公用房取暖费、办公用房物业管理费、公务用车运行维护费以及其他费用。</w:t>
      </w:r>
    </w:p>
    <w:p>
      <w:pPr>
        <w:ind w:firstLine="640" w:firstLineChars="200"/>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二、</w:t>
      </w:r>
      <w:r>
        <w:rPr>
          <w:rFonts w:ascii="Times New Roman" w:hAnsi="Times New Roman" w:eastAsia="仿宋_GB2312" w:cs="Times New Roman"/>
          <w:b/>
          <w:bCs/>
          <w:color w:val="000000"/>
          <w:kern w:val="0"/>
          <w:sz w:val="32"/>
          <w:szCs w:val="32"/>
          <w:lang w:val="en-US"/>
        </w:rPr>
        <w:t>“三公”经费</w:t>
      </w:r>
      <w:r>
        <w:rPr>
          <w:rFonts w:ascii="Times New Roman" w:hAnsi="Times New Roman" w:eastAsia="仿宋_GB2312" w:cs="Times New Roman"/>
          <w:color w:val="000000"/>
          <w:kern w:val="0"/>
          <w:sz w:val="32"/>
          <w:szCs w:val="32"/>
          <w:lang w:val="en-US"/>
        </w:rPr>
        <w:t>。纳入财政预算管理的“三公“经费，是指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燃料费、维修费、过桥过路费、保险费、安全奖励费用等支出；公务接待费反映单位按规定开支的各类公务接待（含外宾接待）支出</w:t>
      </w:r>
    </w:p>
    <w:p>
      <w:pPr>
        <w:ind w:firstLine="640" w:firstLineChars="200"/>
        <w:jc w:val="left"/>
        <w:rPr>
          <w:rFonts w:ascii="Times New Roman" w:hAnsi="Times New Roman" w:cs="Times New Roman"/>
          <w:color w:val="000000"/>
          <w:kern w:val="0"/>
          <w:sz w:val="32"/>
          <w:szCs w:val="32"/>
        </w:rPr>
      </w:pPr>
      <w:r>
        <w:rPr>
          <w:rFonts w:ascii="Times New Roman" w:hAnsi="Times New Roman" w:eastAsia="仿宋_GB2312" w:cs="Times New Roman"/>
          <w:color w:val="000000"/>
          <w:kern w:val="0"/>
          <w:sz w:val="32"/>
          <w:szCs w:val="32"/>
        </w:rPr>
        <w:t>三、</w:t>
      </w:r>
      <w:r>
        <w:rPr>
          <w:rFonts w:hint="default" w:ascii="楷体_GB2312" w:hAnsi="楷体_GB2312" w:eastAsia="楷体_GB2312" w:cs="楷体_GB2312"/>
          <w:b/>
          <w:bCs/>
          <w:i w:val="0"/>
          <w:iCs w:val="0"/>
          <w:color w:val="000000"/>
          <w:kern w:val="2"/>
          <w:sz w:val="32"/>
          <w:szCs w:val="32"/>
          <w:highlight w:val="none"/>
          <w:shd w:val="clear" w:color="FFFFFF" w:fill="FFFFFF"/>
          <w:vertAlign w:val="baseline"/>
          <w:lang w:val="en-US" w:eastAsia="zh-CN" w:bidi="ar-SA"/>
        </w:rPr>
        <w:t>基本支出。</w:t>
      </w:r>
      <w:r>
        <w:rPr>
          <w:rFonts w:hint="default" w:ascii="仿宋_GB2312" w:hAnsi="仿宋_GB2312" w:eastAsia="仿宋_GB2312" w:cs="仿宋_GB2312"/>
          <w:b w:val="0"/>
          <w:bCs w:val="0"/>
          <w:i w:val="0"/>
          <w:iCs w:val="0"/>
          <w:color w:val="000000"/>
          <w:kern w:val="2"/>
          <w:sz w:val="32"/>
          <w:szCs w:val="32"/>
          <w:highlight w:val="none"/>
          <w:shd w:val="clear" w:color="FFFFFF" w:fill="FFFFFF"/>
          <w:vertAlign w:val="baseline"/>
          <w:lang w:val="en-US" w:eastAsia="zh-CN" w:bidi="ar-SA"/>
        </w:rPr>
        <w:t>指为保障机构正常运转、完成日常工作任务而发生的人员支出和公用支出。</w:t>
      </w:r>
    </w:p>
    <w:p>
      <w:pPr>
        <w:pStyle w:val="14"/>
        <w:ind w:firstLine="640" w:firstLineChars="200"/>
        <w:rPr>
          <w:rFonts w:ascii="Times New Roman" w:hAnsi="Times New Roman" w:eastAsia="宋体" w:cs="Times New Roman"/>
          <w:sz w:val="32"/>
          <w:szCs w:val="32"/>
        </w:rPr>
      </w:pPr>
      <w:r>
        <w:rPr>
          <w:rFonts w:ascii="Times New Roman" w:hAnsi="Times New Roman" w:eastAsia="宋体" w:cs="Times New Roman"/>
          <w:sz w:val="32"/>
          <w:szCs w:val="32"/>
          <w:lang w:val="en-US"/>
        </w:rPr>
        <w:t>四、</w:t>
      </w:r>
      <w:r>
        <w:rPr>
          <w:rFonts w:hint="default" w:ascii="楷体_GB2312" w:hAnsi="楷体_GB2312" w:eastAsia="楷体_GB2312" w:cs="楷体_GB2312"/>
          <w:b/>
          <w:bCs/>
          <w:i w:val="0"/>
          <w:iCs w:val="0"/>
          <w:color w:val="000000"/>
          <w:kern w:val="2"/>
          <w:sz w:val="32"/>
          <w:szCs w:val="32"/>
          <w:highlight w:val="none"/>
          <w:shd w:val="clear" w:color="FFFFFF" w:fill="FFFFFF"/>
          <w:vertAlign w:val="baseline"/>
          <w:lang w:val="en-US" w:eastAsia="zh-CN" w:bidi="ar-SA"/>
        </w:rPr>
        <w:t>项目支出。</w:t>
      </w:r>
      <w:r>
        <w:rPr>
          <w:rFonts w:hint="default" w:ascii="仿宋_GB2312" w:hAnsi="仿宋_GB2312" w:eastAsia="仿宋_GB2312" w:cs="仿宋_GB2312"/>
          <w:b w:val="0"/>
          <w:bCs w:val="0"/>
          <w:i w:val="0"/>
          <w:iCs w:val="0"/>
          <w:color w:val="000000"/>
          <w:kern w:val="2"/>
          <w:sz w:val="32"/>
          <w:szCs w:val="32"/>
          <w:highlight w:val="none"/>
          <w:shd w:val="clear" w:color="FFFFFF" w:fill="FFFFFF"/>
          <w:vertAlign w:val="baseline"/>
          <w:lang w:val="en-US" w:eastAsia="zh-CN" w:bidi="ar-SA"/>
        </w:rPr>
        <w:t>指在基本支出之外为完成特定行政任务和事业发展目标所发生的支出。</w:t>
      </w:r>
    </w:p>
    <w:p>
      <w:pPr>
        <w:pStyle w:val="14"/>
        <w:jc w:val="center"/>
        <w:rPr>
          <w:rFonts w:ascii="Times New Roman" w:hAnsi="Times New Roman" w:cs="Times New Roman"/>
          <w:sz w:val="72"/>
          <w:szCs w:val="72"/>
        </w:rPr>
      </w:pPr>
      <w:bookmarkStart w:id="3" w:name="_GoBack"/>
      <w:bookmarkEnd w:id="3"/>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both"/>
        <w:rPr>
          <w:rFonts w:ascii="Times New Roman" w:hAnsi="Times New Roman" w:cs="Times New Roman"/>
          <w:sz w:val="72"/>
          <w:szCs w:val="72"/>
        </w:rPr>
      </w:pPr>
    </w:p>
    <w:p>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pPr>
        <w:rPr>
          <w:rFonts w:ascii="Times New Roman" w:hAnsi="Times New Roman" w:cs="Times New Roman"/>
          <w:sz w:val="72"/>
          <w:szCs w:val="72"/>
        </w:rPr>
      </w:pPr>
    </w:p>
    <w:p>
      <w:pPr>
        <w:pStyle w:val="14"/>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w:t>
      </w:r>
      <w:r>
        <w:rPr>
          <w:rFonts w:ascii="Times New Roman" w:hAnsi="Times New Roman" w:eastAsia="仿宋_GB2312" w:cs="Times New Roman"/>
          <w:sz w:val="32"/>
          <w:szCs w:val="32"/>
        </w:rPr>
        <w:t>2024年度部门(单位)整体支出绩效自评报告。</w:t>
      </w:r>
    </w:p>
    <w:p>
      <w:pPr>
        <w:pStyle w:val="14"/>
        <w:ind w:firstLine="1280" w:firstLineChars="400"/>
        <w:rPr>
          <w:rFonts w:ascii="Times New Roman" w:hAnsi="Times New Roman" w:eastAsia="仿宋_GB2312" w:cs="Times New Roman"/>
          <w:sz w:val="32"/>
          <w:szCs w:val="32"/>
        </w:rPr>
      </w:pPr>
      <w:r>
        <w:rPr>
          <w:rFonts w:ascii="Times New Roman" w:hAnsi="Times New Roman" w:eastAsia="仿宋_GB2312" w:cs="Times New Roman"/>
          <w:sz w:val="32"/>
          <w:szCs w:val="32"/>
        </w:rPr>
        <w:t>………</w:t>
      </w:r>
    </w:p>
    <w:p>
      <w:pPr>
        <w:pStyle w:val="14"/>
        <w:spacing w:line="600" w:lineRule="exact"/>
        <w:ind w:firstLine="640" w:firstLineChars="200"/>
        <w:rPr>
          <w:rFonts w:ascii="Times New Roman" w:hAnsi="Times New Roman" w:eastAsia="仿宋_GB2312" w:cs="Times New Roman"/>
          <w:sz w:val="32"/>
          <w:szCs w:val="3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0896818-8FBF-43B3-915E-CBF48C68B42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8E29B868-F2E4-4AD6-9F6F-466AD92BDE29}"/>
  </w:font>
  <w:font w:name="方正小标宋_GBK">
    <w:panose1 w:val="02000000000000000000"/>
    <w:charset w:val="86"/>
    <w:family w:val="script"/>
    <w:pitch w:val="default"/>
    <w:sig w:usb0="A00002BF" w:usb1="38CF7CFA" w:usb2="00082016" w:usb3="00000000" w:csb0="00040001" w:csb1="00000000"/>
    <w:embedRegular r:id="rId3" w:fontKey="{F25C386E-6842-42A0-8E86-50F5DA7E12CC}"/>
  </w:font>
  <w:font w:name="仿宋_GB2312">
    <w:panose1 w:val="02010609030101010101"/>
    <w:charset w:val="86"/>
    <w:family w:val="modern"/>
    <w:pitch w:val="default"/>
    <w:sig w:usb0="00000001" w:usb1="080E0000" w:usb2="00000000" w:usb3="00000000" w:csb0="00040000" w:csb1="00000000"/>
    <w:embedRegular r:id="rId4" w:fontKey="{5086772A-E52F-4520-82AE-6739C9C2A098}"/>
  </w:font>
  <w:font w:name="仿宋">
    <w:panose1 w:val="02010609060101010101"/>
    <w:charset w:val="86"/>
    <w:family w:val="auto"/>
    <w:pitch w:val="default"/>
    <w:sig w:usb0="800002BF" w:usb1="38CF7CFA" w:usb2="00000016" w:usb3="00000000" w:csb0="00040001" w:csb1="00000000"/>
    <w:embedRegular r:id="rId5" w:fontKey="{DA4EFE3D-9E4A-41BA-A147-43E448896209}"/>
  </w:font>
  <w:font w:name="华文中宋">
    <w:altName w:val="宋体"/>
    <w:panose1 w:val="02010600040101010101"/>
    <w:charset w:val="86"/>
    <w:family w:val="auto"/>
    <w:pitch w:val="default"/>
    <w:sig w:usb0="00000000" w:usb1="00000000" w:usb2="00000010" w:usb3="00000000" w:csb0="0004009F" w:csb1="00000000"/>
    <w:embedRegular r:id="rId6" w:fontKey="{3A93ADDD-86BE-4FF2-9353-C5137EDAF3B3}"/>
  </w:font>
  <w:font w:name="楷体_GB2312">
    <w:panose1 w:val="02010609030101010101"/>
    <w:charset w:val="86"/>
    <w:family w:val="modern"/>
    <w:pitch w:val="default"/>
    <w:sig w:usb0="00000001" w:usb1="080E0000" w:usb2="00000000" w:usb3="00000000" w:csb0="00040000" w:csb1="00000000"/>
    <w:embedRegular r:id="rId7" w:fontKey="{95BF3355-3453-4A32-86C5-81D4C7C97008}"/>
  </w:font>
  <w:font w:name="楷体">
    <w:panose1 w:val="02010609060101010101"/>
    <w:charset w:val="86"/>
    <w:family w:val="modern"/>
    <w:pitch w:val="default"/>
    <w:sig w:usb0="800002BF" w:usb1="38CF7CFA" w:usb2="00000016" w:usb3="00000000" w:csb0="00040001" w:csb1="00000000"/>
    <w:embedRegular r:id="rId8" w:fontKey="{A7D2EE0B-E9F6-44AF-90B5-95A7AFCC6AC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6MNYPAgAABwQAAA4AAABkcnMvZTJvRG9jLnhtbK1TzY7TMBC+I/EO&#10;lu80aVFXVdV0VXZVhFSxKxXE2XWcJpL/ZLtNygPAG3Diwp3n6nPsZ6fpIuCEuNhjz/ibmW8+L247&#10;JclRON8YXdDxKKdEaG7KRu8L+vHD+tWMEh+YLpk0WhT0JDy9Xb58sWjtXExMbWQpHAGI9vPWFrQO&#10;wc6zzPNaKOZHxgoNZ2WcYgFHt89Kx1qgK5lN8vwma40rrTNceI/b+95Jlwm/qgQPD1XlRSCyoKgt&#10;pNWldRfXbLlg871jtm74pQz2D1Uo1mgkvULds8DIwTV/QKmGO+NNFUbcqMxUVcNF6gHdjPPfutnW&#10;zIrUC8jx9kqT/3+w/P3x0ZGmLOiUEs0URnT+9vX8/ef5xxcyjfS01s8RtbWIC90b02HMw73HZey6&#10;q5yKO/oh8IPo05Vc0QXC46PZZDbL4eLwDQfgZ8/PrfPhrTCKRKOgDtNLpLLjxoc+dAiJ2bRZN1Km&#10;CUpN2oLevJ7m6cHVA3CpkSM20RcbrdDtuktnO1Oe0JgzvTK85esGyTfMh0fmIAUUDHmHByyVNEhi&#10;LhYltXGf/3Yf4zEheClpIa2CamifEvlOY3JRhYPhBmM3GPqg7gy0Osa3sTyZeOCCHMzKGfUJml/F&#10;HHAxzZGpoGEw70Ivb/wZLlarFAStWRY2emt5hI7kebs6BBCYeI2k9ExcuILa0mQuPyPK+ddzinr+&#10;v8s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Nn6MNYPAgAABwQAAA4AAAAAAAAAAQAgAAAA&#10;HwEAAGRycy9lMm9Eb2MueG1sUEsFBgAAAAAGAAYAWQEAAKA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20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30C6CF6"/>
    <w:multiLevelType w:val="singleLevel"/>
    <w:tmpl w:val="E30C6CF6"/>
    <w:lvl w:ilvl="0" w:tentative="0">
      <w:start w:val="7"/>
      <w:numFmt w:val="chineseCounting"/>
      <w:suff w:val="nothing"/>
      <w:lvlText w:val="%1、"/>
      <w:lvlJc w:val="left"/>
      <w:rPr>
        <w:rFonts w:hint="eastAsia"/>
      </w:rPr>
    </w:lvl>
  </w:abstractNum>
  <w:abstractNum w:abstractNumId="1">
    <w:nsid w:val="090ADF05"/>
    <w:multiLevelType w:val="singleLevel"/>
    <w:tmpl w:val="090ADF05"/>
    <w:lvl w:ilvl="0" w:tentative="0">
      <w:start w:val="14"/>
      <w:numFmt w:val="chineseCounting"/>
      <w:suff w:val="nothing"/>
      <w:lvlText w:val="%1、"/>
      <w:lvlJc w:val="left"/>
      <w:rPr>
        <w:rFonts w:hint="eastAsia"/>
      </w:rPr>
    </w:lvl>
  </w:abstractNum>
  <w:abstractNum w:abstractNumId="2">
    <w:nsid w:val="1CC5AE21"/>
    <w:multiLevelType w:val="singleLevel"/>
    <w:tmpl w:val="1CC5AE21"/>
    <w:lvl w:ilvl="0" w:tentative="0">
      <w:start w:val="3"/>
      <w:numFmt w:val="decimal"/>
      <w:suff w:val="nothing"/>
      <w:lvlText w:val="%1、"/>
      <w:lvlJc w:val="left"/>
    </w:lvl>
  </w:abstractNum>
  <w:abstractNum w:abstractNumId="3">
    <w:nsid w:val="71976A1C"/>
    <w:multiLevelType w:val="singleLevel"/>
    <w:tmpl w:val="71976A1C"/>
    <w:lvl w:ilvl="0" w:tentative="0">
      <w:start w:val="1"/>
      <w:numFmt w:val="chineseCounting"/>
      <w:suff w:val="nothing"/>
      <w:lvlText w:val="%1、"/>
      <w:lvlJc w:val="left"/>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saveSubset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CF495D"/>
    <w:rsid w:val="00D148C6"/>
    <w:rsid w:val="00D17A8A"/>
    <w:rsid w:val="00D415BA"/>
    <w:rsid w:val="00D63780"/>
    <w:rsid w:val="00D644EE"/>
    <w:rsid w:val="00D704DB"/>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6B1AAC"/>
    <w:rsid w:val="017C22CA"/>
    <w:rsid w:val="01EC72D6"/>
    <w:rsid w:val="01F33B73"/>
    <w:rsid w:val="02B67DFB"/>
    <w:rsid w:val="02F72AEC"/>
    <w:rsid w:val="03030F3E"/>
    <w:rsid w:val="036F01E2"/>
    <w:rsid w:val="03CA5408"/>
    <w:rsid w:val="047F0FEB"/>
    <w:rsid w:val="049E6637"/>
    <w:rsid w:val="04C64263"/>
    <w:rsid w:val="05920807"/>
    <w:rsid w:val="0594368B"/>
    <w:rsid w:val="05D94D4B"/>
    <w:rsid w:val="06C80E13"/>
    <w:rsid w:val="08AF28A6"/>
    <w:rsid w:val="08CB3FED"/>
    <w:rsid w:val="08DB66CD"/>
    <w:rsid w:val="0AA305CC"/>
    <w:rsid w:val="0AD658F0"/>
    <w:rsid w:val="0BF8723A"/>
    <w:rsid w:val="0CBC7EF9"/>
    <w:rsid w:val="0CE84687"/>
    <w:rsid w:val="0E61482B"/>
    <w:rsid w:val="0EFA0BCC"/>
    <w:rsid w:val="0F352347"/>
    <w:rsid w:val="0F4F53BA"/>
    <w:rsid w:val="0F916077"/>
    <w:rsid w:val="103A5F7A"/>
    <w:rsid w:val="11B22CAA"/>
    <w:rsid w:val="11B36778"/>
    <w:rsid w:val="12C94CFF"/>
    <w:rsid w:val="130B7682"/>
    <w:rsid w:val="13433B2C"/>
    <w:rsid w:val="144902C9"/>
    <w:rsid w:val="16367C4C"/>
    <w:rsid w:val="172649F5"/>
    <w:rsid w:val="17C32EBA"/>
    <w:rsid w:val="1845015E"/>
    <w:rsid w:val="18894B81"/>
    <w:rsid w:val="1ABF2E1C"/>
    <w:rsid w:val="1B187A0D"/>
    <w:rsid w:val="1C1213A6"/>
    <w:rsid w:val="1CEE1186"/>
    <w:rsid w:val="1D97DEFF"/>
    <w:rsid w:val="1DBD7279"/>
    <w:rsid w:val="1DC84C4C"/>
    <w:rsid w:val="1DFF72E5"/>
    <w:rsid w:val="1E4F7D65"/>
    <w:rsid w:val="1EFC6F07"/>
    <w:rsid w:val="1F203891"/>
    <w:rsid w:val="1F821F99"/>
    <w:rsid w:val="20631D11"/>
    <w:rsid w:val="20783067"/>
    <w:rsid w:val="20A46298"/>
    <w:rsid w:val="21697C63"/>
    <w:rsid w:val="225B49EE"/>
    <w:rsid w:val="229C4838"/>
    <w:rsid w:val="240D251F"/>
    <w:rsid w:val="248D7571"/>
    <w:rsid w:val="26955FF5"/>
    <w:rsid w:val="27044573"/>
    <w:rsid w:val="28FC1CB0"/>
    <w:rsid w:val="2A1A518F"/>
    <w:rsid w:val="2B8E43CA"/>
    <w:rsid w:val="2C4121AE"/>
    <w:rsid w:val="2C987FDB"/>
    <w:rsid w:val="2CF72224"/>
    <w:rsid w:val="2F1018EA"/>
    <w:rsid w:val="2FDF85B8"/>
    <w:rsid w:val="2FFFEE04"/>
    <w:rsid w:val="307C5459"/>
    <w:rsid w:val="30AA1D95"/>
    <w:rsid w:val="313E1763"/>
    <w:rsid w:val="32843FCC"/>
    <w:rsid w:val="33BF2294"/>
    <w:rsid w:val="340407FD"/>
    <w:rsid w:val="34981B0D"/>
    <w:rsid w:val="34DB7414"/>
    <w:rsid w:val="34DF85B0"/>
    <w:rsid w:val="34ED654D"/>
    <w:rsid w:val="364517E5"/>
    <w:rsid w:val="36866002"/>
    <w:rsid w:val="384C78C1"/>
    <w:rsid w:val="384D1450"/>
    <w:rsid w:val="389C112D"/>
    <w:rsid w:val="38A70B87"/>
    <w:rsid w:val="3B49419B"/>
    <w:rsid w:val="3B8F36BC"/>
    <w:rsid w:val="3BC12485"/>
    <w:rsid w:val="3BD11425"/>
    <w:rsid w:val="3C230512"/>
    <w:rsid w:val="3CBE5E4E"/>
    <w:rsid w:val="3E900306"/>
    <w:rsid w:val="3F591CF6"/>
    <w:rsid w:val="40FA6487"/>
    <w:rsid w:val="41CD7DEA"/>
    <w:rsid w:val="41D35EF7"/>
    <w:rsid w:val="42A211AB"/>
    <w:rsid w:val="43C52FC0"/>
    <w:rsid w:val="454F5136"/>
    <w:rsid w:val="46A44F19"/>
    <w:rsid w:val="47E66258"/>
    <w:rsid w:val="482D6D54"/>
    <w:rsid w:val="48AF350A"/>
    <w:rsid w:val="48B22225"/>
    <w:rsid w:val="491FF225"/>
    <w:rsid w:val="4AEE3CA1"/>
    <w:rsid w:val="4BD50ABE"/>
    <w:rsid w:val="4C0664B7"/>
    <w:rsid w:val="4C3C05B3"/>
    <w:rsid w:val="4C643B5B"/>
    <w:rsid w:val="4D587B50"/>
    <w:rsid w:val="4E797E26"/>
    <w:rsid w:val="4F710D4E"/>
    <w:rsid w:val="4FFD214C"/>
    <w:rsid w:val="50537E7C"/>
    <w:rsid w:val="50E417A7"/>
    <w:rsid w:val="51A27694"/>
    <w:rsid w:val="525A65B4"/>
    <w:rsid w:val="533D14C2"/>
    <w:rsid w:val="53584F64"/>
    <w:rsid w:val="53621178"/>
    <w:rsid w:val="53C31933"/>
    <w:rsid w:val="53F87A10"/>
    <w:rsid w:val="541D1161"/>
    <w:rsid w:val="54C34019"/>
    <w:rsid w:val="55760C1C"/>
    <w:rsid w:val="557A3CDC"/>
    <w:rsid w:val="56093396"/>
    <w:rsid w:val="564C5F69"/>
    <w:rsid w:val="5777D4F5"/>
    <w:rsid w:val="57D2297B"/>
    <w:rsid w:val="58CE0D1E"/>
    <w:rsid w:val="594C2C26"/>
    <w:rsid w:val="59AD080A"/>
    <w:rsid w:val="59DD8326"/>
    <w:rsid w:val="5B194B3A"/>
    <w:rsid w:val="5B405BEA"/>
    <w:rsid w:val="5BD95646"/>
    <w:rsid w:val="5C204FD9"/>
    <w:rsid w:val="5C6C6A9E"/>
    <w:rsid w:val="5CB70662"/>
    <w:rsid w:val="5CF61BF1"/>
    <w:rsid w:val="5D52255C"/>
    <w:rsid w:val="5DEF592A"/>
    <w:rsid w:val="5E4C4C10"/>
    <w:rsid w:val="5E84084D"/>
    <w:rsid w:val="5E956D5C"/>
    <w:rsid w:val="5FC6BB1E"/>
    <w:rsid w:val="5FF720F1"/>
    <w:rsid w:val="61276909"/>
    <w:rsid w:val="634E7808"/>
    <w:rsid w:val="63E9605A"/>
    <w:rsid w:val="64173023"/>
    <w:rsid w:val="65CD52BB"/>
    <w:rsid w:val="66975E84"/>
    <w:rsid w:val="67FF5C0B"/>
    <w:rsid w:val="68607A50"/>
    <w:rsid w:val="68F77E6E"/>
    <w:rsid w:val="6925502B"/>
    <w:rsid w:val="69490D88"/>
    <w:rsid w:val="695925F6"/>
    <w:rsid w:val="69886D18"/>
    <w:rsid w:val="6A403639"/>
    <w:rsid w:val="6AAB6187"/>
    <w:rsid w:val="6E1F12E6"/>
    <w:rsid w:val="6EFC0924"/>
    <w:rsid w:val="6FB74722"/>
    <w:rsid w:val="6FEF8B7E"/>
    <w:rsid w:val="713A123F"/>
    <w:rsid w:val="71A6591B"/>
    <w:rsid w:val="72867D71"/>
    <w:rsid w:val="72C32CE8"/>
    <w:rsid w:val="737D59BA"/>
    <w:rsid w:val="748E01D1"/>
    <w:rsid w:val="750E3575"/>
    <w:rsid w:val="758E6645"/>
    <w:rsid w:val="76544B51"/>
    <w:rsid w:val="76A1185A"/>
    <w:rsid w:val="76F167EA"/>
    <w:rsid w:val="770B4961"/>
    <w:rsid w:val="7733254E"/>
    <w:rsid w:val="77C37683"/>
    <w:rsid w:val="78AD4711"/>
    <w:rsid w:val="78C345E4"/>
    <w:rsid w:val="793F5645"/>
    <w:rsid w:val="796926C2"/>
    <w:rsid w:val="79D19834"/>
    <w:rsid w:val="79FF515B"/>
    <w:rsid w:val="7AD52086"/>
    <w:rsid w:val="7AE170FF"/>
    <w:rsid w:val="7B66328B"/>
    <w:rsid w:val="7BAA2B88"/>
    <w:rsid w:val="7C6202F9"/>
    <w:rsid w:val="7DFC533E"/>
    <w:rsid w:val="7E2C0A67"/>
    <w:rsid w:val="7E5E47BF"/>
    <w:rsid w:val="7E9E1962"/>
    <w:rsid w:val="7E9F11B4"/>
    <w:rsid w:val="7F37EC1E"/>
    <w:rsid w:val="7F7DCD9D"/>
    <w:rsid w:val="7F970A6F"/>
    <w:rsid w:val="7F983D01"/>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iPriority="99" w:semiHidden="0"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11">
    <w:name w:val="Normal Table"/>
    <w:semiHidden/>
    <w:unhideWhenUsed/>
    <w:uiPriority w:val="99"/>
    <w:tblPr>
      <w:tblLayout w:type="fixed"/>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index 5"/>
    <w:basedOn w:val="1"/>
    <w:next w:val="1"/>
    <w:unhideWhenUsed/>
    <w:qFormat/>
    <w:uiPriority w:val="99"/>
    <w:pPr>
      <w:keepNext w:val="0"/>
      <w:keepLines w:val="0"/>
      <w:pageBreakBefore w:val="0"/>
      <w:suppressLineNumbers w:val="0"/>
      <w:suppressAutoHyphens/>
      <w:kinsoku/>
      <w:wordWrap/>
      <w:overflowPunct/>
      <w:topLinePunct w:val="0"/>
      <w:autoSpaceDE/>
      <w:autoSpaceDN/>
      <w:bidi w:val="0"/>
      <w:adjustRightInd/>
      <w:snapToGrid/>
      <w:spacing w:before="0" w:beforeAutospacing="0" w:after="0" w:afterAutospacing="0" w:line="240" w:lineRule="auto"/>
      <w:ind w:left="1680" w:right="0" w:firstLine="0"/>
      <w:textAlignment w:val="auto"/>
      <w:outlineLvl w:val="9"/>
    </w:pPr>
    <w:rPr>
      <w:snapToGrid/>
      <w:spacing w:val="0"/>
      <w:w w:val="100"/>
      <w:position w:val="0"/>
      <w:szCs w:val="20"/>
      <w:u w:val="none"/>
      <w:vertAlign w:val="baseline"/>
    </w:rPr>
  </w:style>
  <w:style w:type="paragraph" w:styleId="6">
    <w:name w:val="Body Text"/>
    <w:basedOn w:val="1"/>
    <w:next w:val="5"/>
    <w:qFormat/>
    <w:uiPriority w:val="0"/>
    <w:pPr>
      <w:spacing w:after="120"/>
    </w:pPr>
  </w:style>
  <w:style w:type="paragraph" w:styleId="7">
    <w:name w:val="Balloon Text"/>
    <w:basedOn w:val="1"/>
    <w:link w:val="16"/>
    <w:semiHidden/>
    <w:unhideWhenUsed/>
    <w:qFormat/>
    <w:uiPriority w:val="99"/>
    <w:rPr>
      <w:sz w:val="18"/>
      <w:szCs w:val="18"/>
    </w:rPr>
  </w:style>
  <w:style w:type="paragraph" w:styleId="8">
    <w:name w:val="footer"/>
    <w:basedOn w:val="1"/>
    <w:link w:val="13"/>
    <w:unhideWhenUsed/>
    <w:qFormat/>
    <w:uiPriority w:val="99"/>
    <w:pPr>
      <w:tabs>
        <w:tab w:val="center" w:pos="4153"/>
        <w:tab w:val="right" w:pos="8306"/>
      </w:tabs>
      <w:snapToGrid w:val="0"/>
      <w:jc w:val="left"/>
    </w:pPr>
    <w:rPr>
      <w:sz w:val="18"/>
      <w:szCs w:val="18"/>
    </w:rPr>
  </w:style>
  <w:style w:type="paragraph" w:styleId="9">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2">
    <w:name w:val="页眉 Char"/>
    <w:basedOn w:val="10"/>
    <w:link w:val="9"/>
    <w:qFormat/>
    <w:uiPriority w:val="99"/>
    <w:rPr>
      <w:sz w:val="18"/>
      <w:szCs w:val="18"/>
    </w:rPr>
  </w:style>
  <w:style w:type="character" w:customStyle="1" w:styleId="13">
    <w:name w:val="页脚 Char"/>
    <w:basedOn w:val="10"/>
    <w:link w:val="8"/>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0"/>
    <w:link w:val="7"/>
    <w:semiHidden/>
    <w:qFormat/>
    <w:uiPriority w:val="99"/>
    <w:rPr>
      <w:sz w:val="18"/>
      <w:szCs w:val="18"/>
    </w:rPr>
  </w:style>
  <w:style w:type="character" w:customStyle="1" w:styleId="17">
    <w:name w:val="font01"/>
    <w:basedOn w:val="10"/>
    <w:qFormat/>
    <w:uiPriority w:val="0"/>
    <w:rPr>
      <w:rFonts w:hint="eastAsia" w:ascii="宋体" w:hAnsi="宋体" w:eastAsia="宋体" w:cs="宋体"/>
      <w:color w:val="000000"/>
      <w:sz w:val="22"/>
      <w:szCs w:val="22"/>
      <w:u w:val="none"/>
    </w:rPr>
  </w:style>
  <w:style w:type="character" w:customStyle="1" w:styleId="18">
    <w:name w:val="font21"/>
    <w:basedOn w:val="10"/>
    <w:qFormat/>
    <w:uiPriority w:val="0"/>
    <w:rPr>
      <w:rFonts w:hint="eastAsia" w:ascii="宋体" w:hAnsi="宋体" w:eastAsia="宋体" w:cs="宋体"/>
      <w:color w:val="000000"/>
      <w:sz w:val="24"/>
      <w:szCs w:val="24"/>
      <w:u w:val="none"/>
    </w:rPr>
  </w:style>
  <w:style w:type="character" w:customStyle="1" w:styleId="19">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25</Pages>
  <Words>1481</Words>
  <Characters>1671</Characters>
  <Lines>69</Lines>
  <Paragraphs>19</Paragraphs>
  <TotalTime>0</TotalTime>
  <ScaleCrop>false</ScaleCrop>
  <LinksUpToDate>false</LinksUpToDate>
  <CharactersWithSpaces>2101</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2025-08-18T10:17:00Z</dcterms:created>
  <dc:creator>李航 null</dc:creator>
  <cp:lastModifiedBy>Administrator</cp:lastModifiedBy>
  <cp:lastPrinted>2024-08-08T18:20:00Z</cp:lastPrinted>
  <dcterms:modified xsi:type="dcterms:W3CDTF">2025-09-18T02:19:39Z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y fmtid="{D5CDD505-2E9C-101B-9397-08002B2CF9AE}" pid="3" name="ICV">
    <vt:lpwstr>BB7B6AA21D207914D6FDA268992A22D6</vt:lpwstr>
  </property>
  <property fmtid="{D5CDD505-2E9C-101B-9397-08002B2CF9AE}" pid="4" name="KSOTemplateDocerSaveRecord">
    <vt:lpwstr>eyJoZGlkIjoiZTAwNDg3NDMwNGJlOGYyMDYzM2MxNDUyNGMzZjk4OTAifQ==</vt:lpwstr>
  </property>
</Properties>
</file>