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jc w:val="both"/>
        <w:rPr>
          <w:rFonts w:hAnsi="黑体"/>
          <w:sz w:val="36"/>
          <w:szCs w:val="36"/>
        </w:rPr>
      </w:pPr>
      <w:r>
        <w:rPr>
          <w:rFonts w:hint="eastAsia" w:hAnsi="黑体"/>
          <w:sz w:val="36"/>
          <w:szCs w:val="36"/>
        </w:rPr>
        <w:t>附件1</w:t>
      </w:r>
    </w:p>
    <w:p>
      <w:pPr>
        <w:pStyle w:val="15"/>
        <w:jc w:val="center"/>
        <w:rPr>
          <w:rFonts w:ascii="Times New Roman" w:hAnsi="Times New Roman" w:cs="Times New Roman"/>
          <w:sz w:val="56"/>
          <w:szCs w:val="56"/>
        </w:rPr>
      </w:pPr>
    </w:p>
    <w:p>
      <w:pPr>
        <w:pStyle w:val="15"/>
        <w:jc w:val="center"/>
        <w:rPr>
          <w:rFonts w:ascii="Times New Roman" w:hAnsi="Times New Roman" w:cs="Times New Roman"/>
          <w:sz w:val="84"/>
          <w:szCs w:val="84"/>
        </w:rPr>
      </w:pPr>
    </w:p>
    <w:p>
      <w:pPr>
        <w:pStyle w:val="15"/>
        <w:jc w:val="center"/>
        <w:rPr>
          <w:rFonts w:ascii="Times New Roman" w:hAnsi="Times New Roman" w:cs="Times New Roman"/>
          <w:sz w:val="84"/>
          <w:szCs w:val="84"/>
        </w:rPr>
      </w:pPr>
    </w:p>
    <w:p>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5"/>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蓝山县民政局</w:t>
      </w:r>
      <w:r>
        <w:rPr>
          <w:rFonts w:ascii="Times New Roman" w:hAnsi="Times New Roman" w:eastAsia="方正小标宋简体" w:cs="Times New Roman"/>
          <w:sz w:val="72"/>
          <w:szCs w:val="72"/>
        </w:rPr>
        <w:t>部门决算</w:t>
      </w:r>
    </w:p>
    <w:p>
      <w:pPr>
        <w:pStyle w:val="15"/>
        <w:jc w:val="center"/>
        <w:rPr>
          <w:rFonts w:ascii="Times New Roman" w:hAnsi="Times New Roman" w:eastAsia="方正小标宋_GBK" w:cs="Times New Roman"/>
          <w:sz w:val="56"/>
          <w:szCs w:val="56"/>
        </w:rPr>
      </w:pPr>
    </w:p>
    <w:p>
      <w:pPr>
        <w:pStyle w:val="15"/>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5"/>
        <w:spacing w:line="600" w:lineRule="exact"/>
        <w:jc w:val="center"/>
        <w:rPr>
          <w:rFonts w:ascii="Times New Roman" w:hAnsi="Times New Roman" w:cs="Times New Roman"/>
          <w:b/>
          <w:sz w:val="36"/>
          <w:szCs w:val="28"/>
        </w:rPr>
      </w:pPr>
    </w:p>
    <w:p>
      <w:pPr>
        <w:pStyle w:val="15"/>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蓝山县民政局</w:t>
      </w:r>
      <w:r>
        <w:rPr>
          <w:rFonts w:ascii="Times New Roman" w:hAnsi="Times New Roman" w:cs="Times New Roman"/>
          <w:bCs/>
          <w:sz w:val="32"/>
          <w:szCs w:val="32"/>
        </w:rPr>
        <w:t>部门（单位）概况</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5"/>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9"/>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5"/>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蓝山县民政局</w:t>
      </w:r>
      <w:r>
        <w:rPr>
          <w:rFonts w:ascii="Times New Roman" w:hAnsi="Times New Roman" w:eastAsia="方正小标宋_GBK" w:cs="Times New Roman"/>
          <w:sz w:val="52"/>
          <w:szCs w:val="52"/>
        </w:rPr>
        <w:t>概况</w:t>
      </w:r>
    </w:p>
    <w:p>
      <w:pPr>
        <w:pStyle w:val="2"/>
        <w:ind w:left="0" w:leftChars="0" w:firstLine="0" w:firstLineChars="0"/>
        <w:rPr>
          <w:rFonts w:ascii="Times New Roman" w:hAnsi="Times New Roman" w:cs="Times New Roman"/>
        </w:rPr>
      </w:pPr>
    </w:p>
    <w:p>
      <w:pPr>
        <w:pStyle w:val="16"/>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贯彻执行党和国家关于民政工作的法律、法规和方针、政策；起草民政规范性文件，拟订全县民政事业发展规划，并组织实施和监督检查。</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承担依法对全县社会团体、民办非企业单位登记管理和监察责任。</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拟订全县社会救助规划、办法；负责城乡居民最低生活保障、临时救助工作；负责农村五保供养和敬老院建设工作；负责城乡社会救助体系建设工作。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拟订全县城乡基层群众自治组织建设和社区建设相关办法并组织实施；提出加强和改进城乡基层政权建设的建议；指导、组织城乡社区建设和服务管理工作；推动村（居）务公开和基层民主政治建设；指导基层群众自治组织和社区干部的表彰。</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拟订全县行政区划总体规划、地名管理办法并组织实施；负责行政区域界线的勘界和管理工作；负责全县法定行政区域界线争议的调处工作；负责地名管理工作。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拟订全县社会福利事业发展规划、办法并组织实施；指导全县社会福利机构的建设和管理；组织实施社会福利企业认定标准和落实相关扶持政策；指导老年人、孤儿和残疾人等特殊群体的权益保障工作；组织实施福利彩票发行管理实施办法并指导发行；组织实施福利彩票公益金使用管理具体实施办法并指导使用；组织拟订促进慈善事业发展的规划、办法；组织指导社会捐助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贯彻执行国家、省、市的婚姻登记、殡葬管理和儿童收养政策并组织实施；推进婚俗和殡葬改革；指导婚姻、殡葬、收养服务机构管理工作；指导生活无着落人员救助管理站的建设，协调跨省、跨市及跨县区的生活无着落人员救助管理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（8）会同有关部门按规定拟订全县社会工作发展规划、职业规范，推进社会工作人才队伍建设和相关志愿者队伍建设；指导全县基层民政干部职工队伍建设；推进民政科技和民政行业标准化工作。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（9）负责县民政经费的管理和合理使用；负责民政统计工作。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（10）组织指导老区建设，负责老区开发项目申报并做好相关服务工作。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eastAsia="楷体_GB2312"/>
          <w:b/>
          <w:sz w:val="32"/>
          <w:szCs w:val="32"/>
        </w:rPr>
      </w:pPr>
      <w:r>
        <w:rPr>
          <w:rFonts w:hint="eastAsia" w:ascii="仿宋_GB2312" w:hAnsi="仿宋_GB2312" w:eastAsia="仿宋_GB2312" w:cs="仿宋_GB2312"/>
          <w:color w:val="auto"/>
          <w:sz w:val="32"/>
          <w:szCs w:val="32"/>
        </w:rPr>
        <w:t>（11）承办县人民政府交办的其他事项。</w:t>
      </w:r>
    </w:p>
    <w:p>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widowControl/>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kern w:val="0"/>
          <w:sz w:val="32"/>
          <w:szCs w:val="32"/>
        </w:rPr>
        <w:t>（一）内设机构设置。</w:t>
      </w:r>
      <w:r>
        <w:rPr>
          <w:rFonts w:hint="default" w:ascii="Times New Roman" w:hAnsi="Times New Roman" w:eastAsia="仿宋_GB2312" w:cs="Times New Roman"/>
          <w:sz w:val="32"/>
          <w:szCs w:val="32"/>
          <w:lang w:eastAsia="zh-CN"/>
        </w:rPr>
        <w:t>蓝山县民政局</w:t>
      </w:r>
      <w:r>
        <w:rPr>
          <w:rFonts w:hint="default" w:ascii="Times New Roman" w:hAnsi="Times New Roman" w:eastAsia="仿宋_GB2312" w:cs="Times New Roman"/>
          <w:bCs/>
          <w:kern w:val="0"/>
          <w:sz w:val="32"/>
          <w:szCs w:val="32"/>
        </w:rPr>
        <w:t>内设机构包括：</w:t>
      </w:r>
      <w:r>
        <w:rPr>
          <w:rFonts w:hint="default" w:ascii="Times New Roman" w:hAnsi="Times New Roman" w:eastAsia="仿宋_GB2312" w:cs="Times New Roman"/>
          <w:b w:val="0"/>
          <w:bCs w:val="0"/>
          <w:color w:val="auto"/>
          <w:sz w:val="32"/>
          <w:szCs w:val="32"/>
        </w:rPr>
        <w:t>局机关办公室</w:t>
      </w:r>
      <w:r>
        <w:rPr>
          <w:rFonts w:hint="default" w:ascii="Times New Roman" w:hAnsi="Times New Roman" w:eastAsia="仿宋_GB2312" w:cs="Times New Roman"/>
          <w:b w:val="0"/>
          <w:bCs w:val="0"/>
          <w:color w:val="auto"/>
          <w:kern w:val="0"/>
          <w:sz w:val="32"/>
          <w:szCs w:val="32"/>
          <w:lang w:eastAsia="zh-CN"/>
        </w:rPr>
        <w:t>、规划财务室、养老服务股、婚姻登记处、党建办、</w:t>
      </w:r>
      <w:r>
        <w:rPr>
          <w:rFonts w:hint="default" w:ascii="Times New Roman" w:hAnsi="Times New Roman" w:eastAsia="仿宋_GB2312" w:cs="Times New Roman"/>
          <w:b w:val="0"/>
          <w:bCs w:val="0"/>
          <w:color w:val="auto"/>
          <w:sz w:val="32"/>
          <w:szCs w:val="32"/>
        </w:rPr>
        <w:t>募委办</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kern w:val="0"/>
          <w:sz w:val="32"/>
          <w:szCs w:val="32"/>
          <w:lang w:eastAsia="zh-CN"/>
        </w:rPr>
        <w:t>基政股、基建办、儿童福利股、低保股、事务股、救助救济股、地名区划股</w:t>
      </w:r>
      <w:r>
        <w:rPr>
          <w:rFonts w:hint="default" w:ascii="Times New Roman" w:hAnsi="Times New Roman" w:eastAsia="仿宋_GB2312" w:cs="Times New Roman"/>
          <w:b w:val="0"/>
          <w:bCs w:val="0"/>
          <w:color w:val="auto"/>
          <w:kern w:val="0"/>
          <w:sz w:val="32"/>
          <w:szCs w:val="32"/>
          <w:lang w:val="en-US" w:eastAsia="zh-CN"/>
        </w:rPr>
        <w:t>（老区办）、对口驻村队、重点项目办、窗口服  务办</w:t>
      </w:r>
      <w:r>
        <w:rPr>
          <w:rFonts w:hint="default" w:ascii="Times New Roman" w:hAnsi="Times New Roman" w:eastAsia="仿宋_GB2312" w:cs="Times New Roman"/>
          <w:color w:val="auto"/>
          <w:kern w:val="0"/>
          <w:sz w:val="32"/>
          <w:szCs w:val="32"/>
        </w:rPr>
        <w:t>及下设二级机构;民政事务中心、救助服务站、殡葬事务</w:t>
      </w:r>
      <w:r>
        <w:rPr>
          <w:rFonts w:hint="default" w:ascii="Times New Roman" w:hAnsi="Times New Roman" w:eastAsia="仿宋_GB2312" w:cs="Times New Roman"/>
          <w:color w:val="auto"/>
          <w:kern w:val="0"/>
          <w:sz w:val="32"/>
          <w:szCs w:val="32"/>
          <w:lang w:val="en-US" w:eastAsia="zh-CN"/>
        </w:rPr>
        <w:t>所、湘江源中心敬老院、社会福利院、慈善总会办公室。</w:t>
      </w:r>
    </w:p>
    <w:p>
      <w:pPr>
        <w:widowControl/>
        <w:spacing w:line="600" w:lineRule="exact"/>
        <w:ind w:firstLine="627" w:firstLineChars="196"/>
        <w:rPr>
          <w:rFonts w:eastAsia="仿宋_GB2312"/>
          <w:sz w:val="32"/>
          <w:szCs w:val="32"/>
        </w:rPr>
      </w:pPr>
      <w:r>
        <w:rPr>
          <w:rFonts w:ascii="Times New Roman" w:hAnsi="Times New Roman" w:eastAsia="仿宋_GB2312" w:cs="Times New Roman"/>
          <w:bCs/>
          <w:kern w:val="0"/>
          <w:sz w:val="32"/>
          <w:szCs w:val="32"/>
        </w:rPr>
        <w:t>（二）决算单位构成。</w:t>
      </w:r>
      <w:r>
        <w:rPr>
          <w:rFonts w:hint="eastAsia" w:eastAsia="仿宋_GB2312"/>
          <w:sz w:val="32"/>
          <w:szCs w:val="32"/>
          <w:lang w:eastAsia="zh-CN"/>
        </w:rPr>
        <w:t>蓝山县民政局</w:t>
      </w:r>
      <w:r>
        <w:rPr>
          <w:rFonts w:eastAsia="仿宋_GB2312"/>
          <w:sz w:val="32"/>
          <w:szCs w:val="32"/>
        </w:rPr>
        <w:t>部门只有本级，没有其他</w:t>
      </w:r>
      <w:r>
        <w:rPr>
          <w:rFonts w:hint="eastAsia" w:eastAsia="仿宋_GB2312"/>
          <w:sz w:val="32"/>
          <w:szCs w:val="32"/>
          <w:lang w:eastAsia="zh-CN"/>
        </w:rPr>
        <w:t>决算</w:t>
      </w:r>
      <w:r>
        <w:rPr>
          <w:rFonts w:eastAsia="仿宋_GB2312"/>
          <w:sz w:val="32"/>
          <w:szCs w:val="32"/>
        </w:rPr>
        <w:t>单位，因此本部门</w:t>
      </w:r>
      <w:r>
        <w:rPr>
          <w:rFonts w:hint="eastAsia" w:eastAsia="仿宋_GB2312"/>
          <w:sz w:val="32"/>
          <w:szCs w:val="32"/>
          <w:lang w:eastAsia="zh-CN"/>
        </w:rPr>
        <w:t>决算</w:t>
      </w:r>
      <w:r>
        <w:rPr>
          <w:rFonts w:eastAsia="仿宋_GB2312"/>
          <w:sz w:val="32"/>
          <w:szCs w:val="32"/>
        </w:rPr>
        <w:t>仅含本级</w:t>
      </w:r>
      <w:r>
        <w:rPr>
          <w:rFonts w:hint="eastAsia" w:eastAsia="仿宋_GB2312"/>
          <w:sz w:val="32"/>
          <w:szCs w:val="32"/>
          <w:lang w:eastAsia="zh-CN"/>
        </w:rPr>
        <w:t>决算</w:t>
      </w:r>
      <w:r>
        <w:rPr>
          <w:rFonts w:eastAsia="仿宋_GB2312"/>
          <w:sz w:val="32"/>
          <w:szCs w:val="32"/>
        </w:rPr>
        <w:t>。</w:t>
      </w:r>
    </w:p>
    <w:p>
      <w:pPr>
        <w:widowControl/>
        <w:spacing w:line="600" w:lineRule="exact"/>
        <w:ind w:firstLine="640" w:firstLineChars="200"/>
        <w:rPr>
          <w:rFonts w:ascii="Times New Roman" w:hAnsi="Times New Roman" w:eastAsia="仿宋_GB2312" w:cs="Times New Roman"/>
          <w:bCs/>
          <w:kern w:val="0"/>
          <w:sz w:val="32"/>
          <w:szCs w:val="32"/>
        </w:rPr>
      </w:pPr>
    </w:p>
    <w:p>
      <w:pPr>
        <w:jc w:val="left"/>
        <w:rPr>
          <w:rFonts w:ascii="Times New Roman" w:hAnsi="Times New Roman" w:eastAsia="仿宋_GB2312" w:cs="Times New Roman"/>
          <w:sz w:val="28"/>
          <w:szCs w:val="32"/>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9"/>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2"/>
        <w:tblW w:w="14896" w:type="dxa"/>
        <w:jc w:val="center"/>
        <w:tblInd w:w="0" w:type="dxa"/>
        <w:tblLayout w:type="fixed"/>
        <w:tblCellMar>
          <w:top w:w="0" w:type="dxa"/>
          <w:left w:w="108" w:type="dxa"/>
          <w:bottom w:w="0" w:type="dxa"/>
          <w:right w:w="108" w:type="dxa"/>
        </w:tblCellMar>
      </w:tblPr>
      <w:tblGrid>
        <w:gridCol w:w="5762"/>
        <w:gridCol w:w="850"/>
        <w:gridCol w:w="1291"/>
        <w:gridCol w:w="4851"/>
        <w:gridCol w:w="850"/>
        <w:gridCol w:w="1292"/>
      </w:tblGrid>
      <w:tr>
        <w:tblPrEx>
          <w:tblLayout w:type="fixed"/>
          <w:tblCellMar>
            <w:top w:w="0" w:type="dxa"/>
            <w:left w:w="108" w:type="dxa"/>
            <w:bottom w:w="0" w:type="dxa"/>
            <w:right w:w="108" w:type="dxa"/>
          </w:tblCellMar>
        </w:tblPrEx>
        <w:trPr>
          <w:trHeight w:val="340" w:hRule="exact"/>
          <w:jc w:val="center"/>
        </w:trPr>
        <w:tc>
          <w:tcPr>
            <w:tcW w:w="79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699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tblPrEx>
          <w:tblLayout w:type="fixed"/>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12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tblPrEx>
          <w:tblLayout w:type="fixed"/>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imes New Roman" w:hAnsi="Times New Roman" w:eastAsia="仿宋_GB2312" w:cs="Times New Roman"/>
                <w:color w:val="000000"/>
                <w:sz w:val="24"/>
                <w:szCs w:val="24"/>
              </w:rPr>
            </w:pP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imes New Roman" w:hAnsi="Times New Roman" w:eastAsia="仿宋_GB2312" w:cs="Times New Roman"/>
                <w:color w:val="000000"/>
                <w:sz w:val="24"/>
                <w:szCs w:val="24"/>
              </w:rPr>
            </w:pPr>
          </w:p>
        </w:tc>
        <w:tc>
          <w:tcPr>
            <w:tcW w:w="12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tblPrEx>
          <w:tblLayout w:type="fixed"/>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8004.88</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w:t>
            </w:r>
          </w:p>
        </w:tc>
      </w:tr>
      <w:tr>
        <w:tblPrEx>
          <w:tblLayout w:type="fixed"/>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1655.81</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Layout w:type="fixed"/>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Layout w:type="fixed"/>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Layout w:type="fixed"/>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kern w:val="0"/>
                <w:sz w:val="22"/>
                <w:lang w:bidi="ar"/>
              </w:rPr>
              <w:t>七、文化旅游体育与传媒支出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0.59</w:t>
            </w:r>
          </w:p>
        </w:tc>
      </w:tr>
      <w:tr>
        <w:tblPrEx>
          <w:tblLayout w:type="fixed"/>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kern w:val="0"/>
                <w:sz w:val="22"/>
                <w:lang w:bidi="ar"/>
              </w:rPr>
              <w:t>八、社会保障和就业支出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7983.62</w:t>
            </w:r>
          </w:p>
        </w:tc>
      </w:tr>
      <w:tr>
        <w:tblPrEx>
          <w:tblLayout w:type="fixed"/>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2"/>
                <w:szCs w:val="22"/>
                <w:lang w:bidi="ar"/>
              </w:rPr>
              <w:t>九、卫生健康支出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18.87</w:t>
            </w:r>
          </w:p>
        </w:tc>
      </w:tr>
      <w:tr>
        <w:tblPrEx>
          <w:tblLayout w:type="fixed"/>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二十三、其他支出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1655.81</w:t>
            </w:r>
          </w:p>
        </w:tc>
      </w:tr>
      <w:tr>
        <w:tblPrEx>
          <w:tblLayout w:type="fixed"/>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b/>
                <w:color w:val="000000"/>
                <w:sz w:val="22"/>
              </w:rPr>
            </w:pPr>
          </w:p>
        </w:tc>
      </w:tr>
      <w:tr>
        <w:tblPrEx>
          <w:tblLayout w:type="fixed"/>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9660.69</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9660.69</w:t>
            </w:r>
          </w:p>
        </w:tc>
      </w:tr>
      <w:tr>
        <w:tblPrEx>
          <w:tblLayout w:type="fixed"/>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Layout w:type="fixed"/>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Layout w:type="fixed"/>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9660.69</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9660.69</w:t>
            </w:r>
          </w:p>
        </w:tc>
      </w:tr>
    </w:tbl>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2"/>
        <w:tblW w:w="14666" w:type="dxa"/>
        <w:jc w:val="center"/>
        <w:tblInd w:w="0" w:type="dxa"/>
        <w:tblLayout w:type="fixed"/>
        <w:tblCellMar>
          <w:top w:w="0" w:type="dxa"/>
          <w:left w:w="0" w:type="dxa"/>
          <w:bottom w:w="0" w:type="dxa"/>
          <w:right w:w="0" w:type="dxa"/>
        </w:tblCellMar>
      </w:tblPr>
      <w:tblGrid>
        <w:gridCol w:w="1446"/>
        <w:gridCol w:w="2652"/>
        <w:gridCol w:w="1478"/>
        <w:gridCol w:w="1544"/>
        <w:gridCol w:w="1521"/>
        <w:gridCol w:w="1533"/>
        <w:gridCol w:w="1522"/>
        <w:gridCol w:w="1587"/>
        <w:gridCol w:w="1383"/>
      </w:tblGrid>
      <w:tr>
        <w:tblPrEx>
          <w:tblLayout w:type="fixed"/>
          <w:tblCellMar>
            <w:top w:w="0" w:type="dxa"/>
            <w:left w:w="0" w:type="dxa"/>
            <w:bottom w:w="0" w:type="dxa"/>
            <w:right w:w="0" w:type="dxa"/>
          </w:tblCellMar>
        </w:tblPrEx>
        <w:trPr>
          <w:trHeight w:val="450" w:hRule="atLeast"/>
          <w:jc w:val="center"/>
        </w:trPr>
        <w:tc>
          <w:tcPr>
            <w:tcW w:w="4098"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47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54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52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5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52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58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tblPrEx>
          <w:tblLayout w:type="fixed"/>
          <w:tblCellMar>
            <w:top w:w="0" w:type="dxa"/>
            <w:left w:w="0" w:type="dxa"/>
            <w:bottom w:w="0" w:type="dxa"/>
            <w:right w:w="0" w:type="dxa"/>
          </w:tblCellMar>
        </w:tblPrEx>
        <w:trPr>
          <w:trHeight w:val="334" w:hRule="exact"/>
          <w:jc w:val="center"/>
        </w:trPr>
        <w:tc>
          <w:tcPr>
            <w:tcW w:w="144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652"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478"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544"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521"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53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522"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58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Layout w:type="fixed"/>
          <w:tblCellMar>
            <w:top w:w="0" w:type="dxa"/>
            <w:left w:w="0" w:type="dxa"/>
            <w:bottom w:w="0" w:type="dxa"/>
            <w:right w:w="0" w:type="dxa"/>
          </w:tblCellMar>
        </w:tblPrEx>
        <w:trPr>
          <w:trHeight w:val="312" w:hRule="atLeast"/>
          <w:jc w:val="center"/>
        </w:trPr>
        <w:tc>
          <w:tcPr>
            <w:tcW w:w="144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2652" w:type="dxa"/>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478"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544"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521"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53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522"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58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Layout w:type="fixed"/>
          <w:tblCellMar>
            <w:top w:w="0" w:type="dxa"/>
            <w:left w:w="0" w:type="dxa"/>
            <w:bottom w:w="0" w:type="dxa"/>
            <w:right w:w="0" w:type="dxa"/>
          </w:tblCellMar>
        </w:tblPrEx>
        <w:trPr>
          <w:trHeight w:val="450" w:hRule="atLeast"/>
          <w:jc w:val="center"/>
        </w:trPr>
        <w:tc>
          <w:tcPr>
            <w:tcW w:w="4098"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478"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544"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521"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533"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522"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58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tblPrEx>
          <w:tblLayout w:type="fixed"/>
          <w:tblCellMar>
            <w:top w:w="0" w:type="dxa"/>
            <w:left w:w="0" w:type="dxa"/>
            <w:bottom w:w="0" w:type="dxa"/>
            <w:right w:w="0" w:type="dxa"/>
          </w:tblCellMar>
        </w:tblPrEx>
        <w:trPr>
          <w:trHeight w:val="454" w:hRule="atLeast"/>
          <w:jc w:val="center"/>
        </w:trPr>
        <w:tc>
          <w:tcPr>
            <w:tcW w:w="4098"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47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9660.69</w:t>
            </w:r>
            <w:r>
              <w:rPr>
                <w:rFonts w:ascii="Times New Roman" w:hAnsi="Times New Roman" w:eastAsia="仿宋_GB2312" w:cs="Times New Roman"/>
              </w:rPr>
              <w:t>　</w:t>
            </w:r>
          </w:p>
        </w:tc>
        <w:tc>
          <w:tcPr>
            <w:tcW w:w="154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9660.69</w:t>
            </w:r>
            <w:r>
              <w:rPr>
                <w:rFonts w:ascii="Times New Roman" w:hAnsi="Times New Roman" w:eastAsia="仿宋_GB2312" w:cs="Times New Roman"/>
              </w:rPr>
              <w:t>　</w:t>
            </w:r>
          </w:p>
        </w:tc>
        <w:tc>
          <w:tcPr>
            <w:tcW w:w="152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3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2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8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201</w:t>
            </w:r>
          </w:p>
        </w:tc>
        <w:tc>
          <w:tcPr>
            <w:tcW w:w="2652"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一般公共服务支出</w:t>
            </w:r>
          </w:p>
        </w:tc>
        <w:tc>
          <w:tcPr>
            <w:tcW w:w="147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1.80</w:t>
            </w:r>
          </w:p>
        </w:tc>
        <w:tc>
          <w:tcPr>
            <w:tcW w:w="154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1.80</w:t>
            </w:r>
          </w:p>
        </w:tc>
        <w:tc>
          <w:tcPr>
            <w:tcW w:w="152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3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2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8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20199</w:t>
            </w:r>
          </w:p>
        </w:tc>
        <w:tc>
          <w:tcPr>
            <w:tcW w:w="2652"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其他一般公共服务支出</w:t>
            </w:r>
          </w:p>
        </w:tc>
        <w:tc>
          <w:tcPr>
            <w:tcW w:w="147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1.80</w:t>
            </w:r>
          </w:p>
        </w:tc>
        <w:tc>
          <w:tcPr>
            <w:tcW w:w="154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1.80</w:t>
            </w:r>
          </w:p>
        </w:tc>
        <w:tc>
          <w:tcPr>
            <w:tcW w:w="152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3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2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8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2019999</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其他一般公共服务支出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1.80</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1.80</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207</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文化旅游体育与传媒支出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0.59</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0.59</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20701</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文化和旅游</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0.59</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0.59</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2070108</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文化活动</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0.59</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2"/>
                <w:szCs w:val="22"/>
              </w:rPr>
            </w:pPr>
            <w:r>
              <w:rPr>
                <w:rFonts w:hint="eastAsia" w:ascii="宋体" w:hAnsi="宋体" w:eastAsia="宋体" w:cs="宋体"/>
                <w:i w:val="0"/>
                <w:iCs w:val="0"/>
                <w:color w:val="000000"/>
                <w:kern w:val="0"/>
                <w:sz w:val="21"/>
                <w:szCs w:val="21"/>
                <w:u w:val="none"/>
                <w:lang w:val="en-US" w:eastAsia="zh-CN" w:bidi="ar"/>
              </w:rPr>
              <w:t>0.59</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社会保障和就业支出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7,983.62</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7,983.62</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20802</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民政管理事务</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1,039.52</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1,039.52</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2080201</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行政运行</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845.98</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845.98</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2080299</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其他民政管理事务支出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193.54</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193.54</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20805</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行政事业单位养老支出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95.00</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95.00</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2080501</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行政单位离退休</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0.41</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0.41</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2080505</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机关事业单位基本养老保险缴费支出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82.41</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82.41</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2080599</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其他行政事业单位养老支出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12.18</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12.18</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20808</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抚恤</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3.07</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3.07</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2080801</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死亡抚恤</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3.07</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3.07</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20810</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社会福利</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394.78</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394.78</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2081001</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儿童福利</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279.88</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279.88</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2081002</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老年福利</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114.90</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114.90</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20811</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残疾人事业</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645.30</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645.30</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2081107</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残疾人生活和护理补贴</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645.30</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645.30</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20819</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最低生活保障</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3,401.18</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3,401.18</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2081901</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城市最低生活保障金支出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508.32</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508.32</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2081902</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农村最低生活保障金支出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2,892.86</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2,892.86</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20820</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临时救助</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584.79</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584.79</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2082001</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临时救助支出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577.80</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577.80</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2082002</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流浪乞讨人员救助支出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7.00</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7.00</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66"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20821</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特困人员救助供养</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1,794.74</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1,794.74</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2082101</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城市特困人员救助供养支出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33.79</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33.79</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2082102</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农村特困人员救助供养支出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1,760.94</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1,760.94</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20825</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其他生活救助</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13.00</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13.00</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2082502</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其他农村生活救助</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13.00</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0"/>
                <w:szCs w:val="21"/>
              </w:rPr>
            </w:pPr>
            <w:r>
              <w:rPr>
                <w:rFonts w:hint="eastAsia" w:ascii="宋体" w:hAnsi="宋体" w:eastAsia="宋体" w:cs="宋体"/>
                <w:i w:val="0"/>
                <w:iCs w:val="0"/>
                <w:color w:val="000000"/>
                <w:kern w:val="0"/>
                <w:sz w:val="21"/>
                <w:szCs w:val="21"/>
                <w:u w:val="none"/>
                <w:lang w:val="en-US" w:eastAsia="zh-CN" w:bidi="ar"/>
              </w:rPr>
              <w:t>13.00</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20899</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其他社会保障和就业支出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12.25</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12.25</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2089999</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其他社会保障和就业支出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12.25</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12.25</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210</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卫生健康支出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18.87</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18.87</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21011</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行政事业单位医疗</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18.87</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18.87</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2101101</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行政单位医疗</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18.87</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18.87</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229</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其他支出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1,655.81</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1,655.81</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22904</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其他政府性基金及对应专项债务收入安排的支出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1,492.56</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1,492.56</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2290402</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其他地方自行试点项目收益专项债券收入安排的支出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1,492.56</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1,492.56</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22960</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彩票公益金安排的支出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163.25</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163.25</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44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2296002</w:t>
            </w:r>
          </w:p>
        </w:tc>
        <w:tc>
          <w:tcPr>
            <w:tcW w:w="2652"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用于社会福利的彩票公益金支出</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163.25</w:t>
            </w:r>
          </w:p>
        </w:tc>
        <w:tc>
          <w:tcPr>
            <w:tcW w:w="154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163.25</w:t>
            </w:r>
          </w:p>
        </w:tc>
        <w:tc>
          <w:tcPr>
            <w:tcW w:w="152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5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bl>
    <w:p>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2"/>
        <w:tblW w:w="14211" w:type="dxa"/>
        <w:jc w:val="center"/>
        <w:tblInd w:w="0" w:type="dxa"/>
        <w:tblLayout w:type="fixed"/>
        <w:tblCellMar>
          <w:top w:w="0" w:type="dxa"/>
          <w:left w:w="108" w:type="dxa"/>
          <w:bottom w:w="0" w:type="dxa"/>
          <w:right w:w="108" w:type="dxa"/>
        </w:tblCellMar>
      </w:tblPr>
      <w:tblGrid>
        <w:gridCol w:w="1795"/>
        <w:gridCol w:w="3152"/>
        <w:gridCol w:w="1870"/>
        <w:gridCol w:w="1630"/>
        <w:gridCol w:w="1576"/>
        <w:gridCol w:w="1370"/>
        <w:gridCol w:w="1380"/>
        <w:gridCol w:w="1438"/>
      </w:tblGrid>
      <w:tr>
        <w:tblPrEx>
          <w:tblLayout w:type="fixed"/>
          <w:tblCellMar>
            <w:top w:w="0" w:type="dxa"/>
            <w:left w:w="108" w:type="dxa"/>
            <w:bottom w:w="0" w:type="dxa"/>
            <w:right w:w="108" w:type="dxa"/>
          </w:tblCellMar>
        </w:tblPrEx>
        <w:trPr>
          <w:trHeight w:val="595" w:hRule="atLeast"/>
          <w:jc w:val="center"/>
        </w:trPr>
        <w:tc>
          <w:tcPr>
            <w:tcW w:w="4947"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18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163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157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13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138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143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tblPrEx>
          <w:tblLayout w:type="fixed"/>
          <w:tblCellMar>
            <w:top w:w="0" w:type="dxa"/>
            <w:left w:w="108" w:type="dxa"/>
            <w:bottom w:w="0" w:type="dxa"/>
            <w:right w:w="108" w:type="dxa"/>
          </w:tblCellMar>
        </w:tblPrEx>
        <w:trPr>
          <w:trHeight w:val="312" w:hRule="exact"/>
          <w:jc w:val="center"/>
        </w:trPr>
        <w:tc>
          <w:tcPr>
            <w:tcW w:w="179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3152"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187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63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5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37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43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315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87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63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5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37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3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4947"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1870"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1630"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576"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370"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380"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1438"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tblPrEx>
          <w:tblLayout w:type="fixed"/>
          <w:tblCellMar>
            <w:top w:w="0" w:type="dxa"/>
            <w:left w:w="108" w:type="dxa"/>
            <w:bottom w:w="0" w:type="dxa"/>
            <w:right w:w="108" w:type="dxa"/>
          </w:tblCellMar>
        </w:tblPrEx>
        <w:trPr>
          <w:trHeight w:val="595" w:hRule="atLeast"/>
          <w:jc w:val="center"/>
        </w:trPr>
        <w:tc>
          <w:tcPr>
            <w:tcW w:w="4947"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87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b w:val="0"/>
                <w:bCs w:val="0"/>
                <w:kern w:val="0"/>
                <w:sz w:val="24"/>
                <w:szCs w:val="24"/>
              </w:rPr>
            </w:pPr>
            <w:r>
              <w:rPr>
                <w:rFonts w:hint="eastAsia" w:ascii="宋体" w:hAnsi="宋体" w:eastAsia="宋体" w:cs="宋体"/>
                <w:b w:val="0"/>
                <w:bCs w:val="0"/>
                <w:i w:val="0"/>
                <w:iCs w:val="0"/>
                <w:color w:val="000000"/>
                <w:kern w:val="0"/>
                <w:sz w:val="22"/>
                <w:szCs w:val="22"/>
                <w:u w:val="none"/>
                <w:lang w:val="en-US" w:eastAsia="zh-CN" w:bidi="ar"/>
              </w:rPr>
              <w:t>9,660.69</w:t>
            </w:r>
          </w:p>
        </w:tc>
        <w:tc>
          <w:tcPr>
            <w:tcW w:w="16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b w:val="0"/>
                <w:bCs w:val="0"/>
                <w:kern w:val="0"/>
                <w:sz w:val="24"/>
                <w:szCs w:val="24"/>
              </w:rPr>
            </w:pPr>
            <w:r>
              <w:rPr>
                <w:rFonts w:hint="eastAsia" w:ascii="宋体" w:hAnsi="宋体" w:eastAsia="宋体" w:cs="宋体"/>
                <w:b w:val="0"/>
                <w:bCs w:val="0"/>
                <w:i w:val="0"/>
                <w:iCs w:val="0"/>
                <w:color w:val="000000"/>
                <w:kern w:val="0"/>
                <w:sz w:val="22"/>
                <w:szCs w:val="22"/>
                <w:u w:val="none"/>
                <w:lang w:val="en-US" w:eastAsia="zh-CN" w:bidi="ar"/>
              </w:rPr>
              <w:t>965.30</w:t>
            </w:r>
          </w:p>
        </w:tc>
        <w:tc>
          <w:tcPr>
            <w:tcW w:w="15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b w:val="0"/>
                <w:bCs w:val="0"/>
                <w:kern w:val="0"/>
                <w:sz w:val="24"/>
                <w:szCs w:val="24"/>
              </w:rPr>
            </w:pPr>
            <w:r>
              <w:rPr>
                <w:rFonts w:hint="eastAsia" w:ascii="宋体" w:hAnsi="宋体" w:eastAsia="宋体" w:cs="宋体"/>
                <w:b w:val="0"/>
                <w:bCs w:val="0"/>
                <w:i w:val="0"/>
                <w:iCs w:val="0"/>
                <w:color w:val="000000"/>
                <w:kern w:val="0"/>
                <w:sz w:val="22"/>
                <w:szCs w:val="22"/>
                <w:u w:val="none"/>
                <w:lang w:val="en-US" w:eastAsia="zh-CN" w:bidi="ar"/>
              </w:rPr>
              <w:t>8,695.39</w:t>
            </w:r>
          </w:p>
        </w:tc>
        <w:tc>
          <w:tcPr>
            <w:tcW w:w="1370"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80"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3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443"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201</w:t>
            </w:r>
          </w:p>
        </w:tc>
        <w:tc>
          <w:tcPr>
            <w:tcW w:w="315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一般公共服务支出</w:t>
            </w:r>
          </w:p>
        </w:tc>
        <w:tc>
          <w:tcPr>
            <w:tcW w:w="187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1.80</w:t>
            </w:r>
          </w:p>
        </w:tc>
        <w:tc>
          <w:tcPr>
            <w:tcW w:w="16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1.80</w:t>
            </w:r>
          </w:p>
        </w:tc>
        <w:tc>
          <w:tcPr>
            <w:tcW w:w="1576" w:type="dxa"/>
            <w:tcBorders>
              <w:top w:val="nil"/>
              <w:left w:val="nil"/>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80"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38"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431"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20199</w:t>
            </w:r>
          </w:p>
        </w:tc>
        <w:tc>
          <w:tcPr>
            <w:tcW w:w="315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87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1.80</w:t>
            </w:r>
          </w:p>
        </w:tc>
        <w:tc>
          <w:tcPr>
            <w:tcW w:w="16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1.80</w:t>
            </w:r>
          </w:p>
        </w:tc>
        <w:tc>
          <w:tcPr>
            <w:tcW w:w="1576" w:type="dxa"/>
            <w:tcBorders>
              <w:top w:val="nil"/>
              <w:left w:val="nil"/>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80"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38"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454"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2019999</w:t>
            </w:r>
          </w:p>
        </w:tc>
        <w:tc>
          <w:tcPr>
            <w:tcW w:w="315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87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1.80</w:t>
            </w:r>
          </w:p>
        </w:tc>
        <w:tc>
          <w:tcPr>
            <w:tcW w:w="16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1.80</w:t>
            </w:r>
          </w:p>
        </w:tc>
        <w:tc>
          <w:tcPr>
            <w:tcW w:w="1576" w:type="dxa"/>
            <w:tcBorders>
              <w:top w:val="nil"/>
              <w:left w:val="nil"/>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80"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38"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487"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207</w:t>
            </w:r>
          </w:p>
        </w:tc>
        <w:tc>
          <w:tcPr>
            <w:tcW w:w="315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87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0.59</w:t>
            </w:r>
          </w:p>
        </w:tc>
        <w:tc>
          <w:tcPr>
            <w:tcW w:w="16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0.59</w:t>
            </w:r>
          </w:p>
        </w:tc>
        <w:tc>
          <w:tcPr>
            <w:tcW w:w="1576" w:type="dxa"/>
            <w:tcBorders>
              <w:top w:val="nil"/>
              <w:left w:val="nil"/>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80"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38"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497"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20701</w:t>
            </w:r>
          </w:p>
        </w:tc>
        <w:tc>
          <w:tcPr>
            <w:tcW w:w="315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文化和旅游</w:t>
            </w:r>
          </w:p>
        </w:tc>
        <w:tc>
          <w:tcPr>
            <w:tcW w:w="187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0.59</w:t>
            </w:r>
          </w:p>
        </w:tc>
        <w:tc>
          <w:tcPr>
            <w:tcW w:w="16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0.59</w:t>
            </w:r>
          </w:p>
        </w:tc>
        <w:tc>
          <w:tcPr>
            <w:tcW w:w="1576" w:type="dxa"/>
            <w:tcBorders>
              <w:top w:val="nil"/>
              <w:left w:val="nil"/>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80"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38"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476"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2070108</w:t>
            </w:r>
          </w:p>
        </w:tc>
        <w:tc>
          <w:tcPr>
            <w:tcW w:w="315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文化活动</w:t>
            </w:r>
          </w:p>
        </w:tc>
        <w:tc>
          <w:tcPr>
            <w:tcW w:w="187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0.59</w:t>
            </w:r>
          </w:p>
        </w:tc>
        <w:tc>
          <w:tcPr>
            <w:tcW w:w="16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0.59</w:t>
            </w:r>
          </w:p>
        </w:tc>
        <w:tc>
          <w:tcPr>
            <w:tcW w:w="1576" w:type="dxa"/>
            <w:tcBorders>
              <w:top w:val="nil"/>
              <w:left w:val="nil"/>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nil"/>
              <w:left w:val="nil"/>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477"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7,983.62</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944.05</w:t>
            </w: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7,039.58</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454"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20802</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民政管理事务</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1,039.52</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845.98</w:t>
            </w: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193.54</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31"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2080201</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行政运行</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845.98</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845.98</w:t>
            </w: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2080299</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其他民政管理事务支出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193.54</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193.54</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20805</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95.00</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95.00</w:t>
            </w: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2080501</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行政单位离退休</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0.41</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0.41</w:t>
            </w: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2080505</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82.41</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82.41</w:t>
            </w: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2080599</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12.18</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12.18</w:t>
            </w: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20808</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抚恤</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3.07</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3.07</w:t>
            </w: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2080801</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死亡抚恤</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3.07</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3.07</w:t>
            </w: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20810</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社会福利</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394.78</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394.78</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2081001</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儿童福利</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279.88</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279.88</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2081002</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老年福利</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114.90</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114.90</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20811</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残疾人事业</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645.30</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645.30</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2081107</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残疾人生活和护理补贴</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645.30</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645.30</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20819</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最低生活保障</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3,401.18</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3,401.18</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2081901</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城市最低生活保障金支出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508.32</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508.32</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2081902</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农村最低生活保障金支出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2,892.86</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2,892.86</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20820</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临时救助</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584.79</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584.79</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2082001</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临时救助支出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577.80</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577.80</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2082002</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流浪乞讨人员救助支出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7.00</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7.00</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20821</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特困人员救助供养</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1,794.74</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1,794.74</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2082101</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城市特困人员救助供养支出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33.79</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33.79</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2082102</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农村特困人员救助供养支出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1,760.94</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1,760.94</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20825</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其他生活救助</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13.00</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13.00</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2082502</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其他农村生活救助</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13.00</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13.00</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20899</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12.25</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12.25</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2089999</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12.25</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12.25</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210</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卫生健康支出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18.87</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18.87</w:t>
            </w: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21011</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行政事业单位医疗</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18.87</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18.87</w:t>
            </w: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2101101</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行政单位医疗</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18.87</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18.87</w:t>
            </w: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229</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其他支出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1,655.81</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1,655.81</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22904</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1,492.56</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1,492.56</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2290402</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1,492.56</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1,492.56</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22960</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163.25</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163.25</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2296002</w:t>
            </w:r>
          </w:p>
        </w:tc>
        <w:tc>
          <w:tcPr>
            <w:tcW w:w="3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spacing w:line="240" w:lineRule="auto"/>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163.25</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right"/>
              <w:rPr>
                <w:rFonts w:ascii="Times New Roman" w:hAnsi="Times New Roman" w:eastAsia="仿宋_GB2312" w:cs="Times New Roman"/>
                <w:kern w:val="0"/>
                <w:sz w:val="22"/>
                <w:szCs w:val="22"/>
              </w:rPr>
            </w:pPr>
          </w:p>
        </w:tc>
        <w:tc>
          <w:tcPr>
            <w:tcW w:w="1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163.25</w:t>
            </w:r>
          </w:p>
        </w:tc>
        <w:tc>
          <w:tcPr>
            <w:tcW w:w="1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c>
          <w:tcPr>
            <w:tcW w:w="14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right"/>
              <w:rPr>
                <w:rFonts w:ascii="Times New Roman" w:hAnsi="Times New Roman" w:eastAsia="仿宋_GB2312" w:cs="Times New Roman"/>
                <w:kern w:val="0"/>
                <w:sz w:val="24"/>
                <w:szCs w:val="24"/>
              </w:rPr>
            </w:pP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蓝山县民政局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2"/>
        <w:tblW w:w="14220" w:type="dxa"/>
        <w:jc w:val="center"/>
        <w:tblInd w:w="0" w:type="dxa"/>
        <w:tblLayout w:type="fixed"/>
        <w:tblCellMar>
          <w:top w:w="0" w:type="dxa"/>
          <w:left w:w="108" w:type="dxa"/>
          <w:bottom w:w="0" w:type="dxa"/>
          <w:right w:w="108" w:type="dxa"/>
        </w:tblCellMar>
      </w:tblPr>
      <w:tblGrid>
        <w:gridCol w:w="3516"/>
        <w:gridCol w:w="616"/>
        <w:gridCol w:w="1096"/>
        <w:gridCol w:w="2636"/>
        <w:gridCol w:w="616"/>
        <w:gridCol w:w="1371"/>
        <w:gridCol w:w="1632"/>
        <w:gridCol w:w="1456"/>
        <w:gridCol w:w="1281"/>
      </w:tblGrid>
      <w:tr>
        <w:tblPrEx>
          <w:tblLayout w:type="fixed"/>
          <w:tblCellMar>
            <w:top w:w="0" w:type="dxa"/>
            <w:left w:w="108" w:type="dxa"/>
            <w:bottom w:w="0" w:type="dxa"/>
            <w:right w:w="108" w:type="dxa"/>
          </w:tblCellMar>
        </w:tblPrEx>
        <w:trPr>
          <w:trHeight w:val="402" w:hRule="atLeast"/>
          <w:jc w:val="center"/>
        </w:trPr>
        <w:tc>
          <w:tcPr>
            <w:tcW w:w="5228"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8992" w:type="dxa"/>
            <w:gridSpan w:val="6"/>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tblPrEx>
          <w:tblLayout w:type="fixed"/>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0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63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3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63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28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0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63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63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28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0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8,004.88</w:t>
            </w:r>
          </w:p>
        </w:tc>
        <w:tc>
          <w:tcPr>
            <w:tcW w:w="263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 w:val="22"/>
              </w:rPr>
            </w:pPr>
            <w:r>
              <w:rPr>
                <w:rFonts w:ascii="Times New Roman" w:hAnsi="Times New Roman" w:eastAsia="仿宋_GB2312" w:cs="Times New Roman"/>
                <w:color w:val="000000"/>
                <w:kern w:val="0"/>
                <w:sz w:val="22"/>
                <w:lang w:bidi="ar"/>
              </w:rPr>
              <w:t>一、一般公共服务支出</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37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1.8</w:t>
            </w:r>
          </w:p>
        </w:tc>
        <w:tc>
          <w:tcPr>
            <w:tcW w:w="163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1.8</w:t>
            </w: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0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1,655.81</w:t>
            </w:r>
          </w:p>
        </w:tc>
        <w:tc>
          <w:tcPr>
            <w:tcW w:w="263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 w:val="22"/>
              </w:rPr>
            </w:pPr>
            <w:r>
              <w:rPr>
                <w:rFonts w:ascii="Times New Roman" w:hAnsi="Times New Roman" w:eastAsia="仿宋_GB2312" w:cs="Times New Roman"/>
                <w:color w:val="000000"/>
                <w:kern w:val="0"/>
                <w:sz w:val="22"/>
                <w:lang w:bidi="ar"/>
              </w:rPr>
              <w:t>二、外交支出</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3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p>
        </w:tc>
        <w:tc>
          <w:tcPr>
            <w:tcW w:w="163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09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 w:val="22"/>
              </w:rPr>
            </w:pPr>
            <w:r>
              <w:rPr>
                <w:rFonts w:ascii="Times New Roman" w:hAnsi="Times New Roman" w:eastAsia="仿宋_GB2312" w:cs="Times New Roman"/>
                <w:color w:val="000000"/>
                <w:kern w:val="0"/>
                <w:sz w:val="22"/>
                <w:lang w:bidi="ar"/>
              </w:rPr>
              <w:t>三、国防支出</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3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p>
        </w:tc>
        <w:tc>
          <w:tcPr>
            <w:tcW w:w="163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109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color w:val="000000"/>
                <w:kern w:val="0"/>
                <w:sz w:val="22"/>
                <w:lang w:bidi="ar"/>
              </w:rPr>
              <w:t>七、文化旅游体育与传媒支出</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371"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sz w:val="22"/>
              </w:rPr>
              <w:t>0.59</w:t>
            </w:r>
          </w:p>
        </w:tc>
        <w:tc>
          <w:tcPr>
            <w:tcW w:w="163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sz w:val="22"/>
              </w:rPr>
              <w:t>0.59</w:t>
            </w: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109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color w:val="000000"/>
                <w:kern w:val="0"/>
                <w:sz w:val="22"/>
                <w:lang w:bidi="ar"/>
              </w:rPr>
              <w:t>八、社会保障和就业支出</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371"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sz w:val="22"/>
              </w:rPr>
              <w:t>7983.62</w:t>
            </w:r>
          </w:p>
        </w:tc>
        <w:tc>
          <w:tcPr>
            <w:tcW w:w="163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sz w:val="22"/>
              </w:rPr>
              <w:t>7983.62</w:t>
            </w: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109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color w:val="000000"/>
                <w:kern w:val="0"/>
                <w:sz w:val="22"/>
                <w:szCs w:val="22"/>
                <w:lang w:bidi="ar"/>
              </w:rPr>
              <w:t>九、卫生健康支出</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371"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sz w:val="22"/>
              </w:rPr>
              <w:t>18.87</w:t>
            </w:r>
          </w:p>
        </w:tc>
        <w:tc>
          <w:tcPr>
            <w:tcW w:w="163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color w:val="000000"/>
                <w:kern w:val="2"/>
                <w:sz w:val="22"/>
                <w:szCs w:val="22"/>
                <w:lang w:val="en-US" w:eastAsia="zh-CN" w:bidi="ar-SA"/>
              </w:rPr>
            </w:pPr>
            <w:r>
              <w:rPr>
                <w:rFonts w:hint="eastAsia" w:ascii="Times New Roman" w:hAnsi="Times New Roman" w:eastAsia="仿宋_GB2312" w:cs="Times New Roman"/>
                <w:color w:val="000000"/>
                <w:sz w:val="22"/>
              </w:rPr>
              <w:t>18.87</w:t>
            </w: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109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color w:val="000000"/>
                <w:sz w:val="22"/>
              </w:rPr>
              <w:t>二十三、其他支出</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3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1655.81</w:t>
            </w:r>
          </w:p>
        </w:tc>
        <w:tc>
          <w:tcPr>
            <w:tcW w:w="163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color w:val="000000"/>
                <w:kern w:val="2"/>
                <w:sz w:val="22"/>
                <w:szCs w:val="22"/>
                <w:lang w:val="en-US" w:eastAsia="zh-CN" w:bidi="ar-SA"/>
              </w:rPr>
            </w:pP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1655.81</w:t>
            </w:r>
          </w:p>
        </w:tc>
        <w:tc>
          <w:tcPr>
            <w:tcW w:w="12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109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13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3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8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1096" w:type="dxa"/>
            <w:tcBorders>
              <w:top w:val="nil"/>
              <w:left w:val="nil"/>
              <w:bottom w:val="single" w:color="auto" w:sz="4" w:space="0"/>
              <w:right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9,660.69</w:t>
            </w:r>
          </w:p>
        </w:tc>
        <w:tc>
          <w:tcPr>
            <w:tcW w:w="263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1371" w:type="dxa"/>
            <w:tcBorders>
              <w:top w:val="nil"/>
              <w:left w:val="nil"/>
              <w:bottom w:val="single" w:color="auto" w:sz="4" w:space="0"/>
              <w:right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9,660.69</w:t>
            </w:r>
          </w:p>
        </w:tc>
        <w:tc>
          <w:tcPr>
            <w:tcW w:w="16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8,004.88</w:t>
            </w:r>
          </w:p>
        </w:tc>
        <w:tc>
          <w:tcPr>
            <w:tcW w:w="14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1,655.81</w:t>
            </w:r>
          </w:p>
        </w:tc>
        <w:tc>
          <w:tcPr>
            <w:tcW w:w="128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109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3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3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8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109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3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3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8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109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3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3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8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109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3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3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5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8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1096" w:type="dxa"/>
            <w:tcBorders>
              <w:top w:val="nil"/>
              <w:left w:val="nil"/>
              <w:bottom w:val="single" w:color="auto" w:sz="4" w:space="0"/>
              <w:right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9,660.69</w:t>
            </w:r>
          </w:p>
        </w:tc>
        <w:tc>
          <w:tcPr>
            <w:tcW w:w="2636"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371" w:type="dxa"/>
            <w:tcBorders>
              <w:top w:val="nil"/>
              <w:left w:val="nil"/>
              <w:bottom w:val="single" w:color="auto" w:sz="4" w:space="0"/>
              <w:right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9,660.69</w:t>
            </w:r>
          </w:p>
        </w:tc>
        <w:tc>
          <w:tcPr>
            <w:tcW w:w="163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8,004.88</w:t>
            </w:r>
          </w:p>
        </w:tc>
        <w:tc>
          <w:tcPr>
            <w:tcW w:w="14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1,655.81</w:t>
            </w:r>
          </w:p>
        </w:tc>
        <w:tc>
          <w:tcPr>
            <w:tcW w:w="128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jc w:val="center"/>
        <w:rPr>
          <w:rFonts w:ascii="Times New Roman" w:hAnsi="Times New Roman" w:eastAsia="方正小标宋_GBK" w:cs="Times New Roman"/>
          <w:kern w:val="0"/>
          <w:sz w:val="36"/>
          <w:szCs w:val="36"/>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eastAsia="zh-CN"/>
        </w:rPr>
        <w:t>蓝山县民政局</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2"/>
        <w:tblW w:w="14219" w:type="dxa"/>
        <w:jc w:val="center"/>
        <w:tblInd w:w="0" w:type="dxa"/>
        <w:tblLayout w:type="fixed"/>
        <w:tblCellMar>
          <w:top w:w="0" w:type="dxa"/>
          <w:left w:w="108" w:type="dxa"/>
          <w:bottom w:w="0" w:type="dxa"/>
          <w:right w:w="108" w:type="dxa"/>
        </w:tblCellMar>
      </w:tblPr>
      <w:tblGrid>
        <w:gridCol w:w="1200"/>
        <w:gridCol w:w="3527"/>
        <w:gridCol w:w="3000"/>
        <w:gridCol w:w="3492"/>
        <w:gridCol w:w="3000"/>
      </w:tblGrid>
      <w:tr>
        <w:tblPrEx>
          <w:tblLayout w:type="fixed"/>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Layout w:type="fixed"/>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Layout w:type="fixed"/>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Layout w:type="fixed"/>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b w:val="0"/>
                <w:bCs w:val="0"/>
                <w:kern w:val="0"/>
                <w:szCs w:val="21"/>
              </w:rPr>
            </w:pPr>
            <w:r>
              <w:rPr>
                <w:rFonts w:hint="eastAsia" w:ascii="宋体" w:hAnsi="宋体" w:eastAsia="宋体" w:cs="宋体"/>
                <w:b w:val="0"/>
                <w:bCs w:val="0"/>
                <w:i w:val="0"/>
                <w:iCs w:val="0"/>
                <w:color w:val="000000"/>
                <w:kern w:val="0"/>
                <w:sz w:val="22"/>
                <w:szCs w:val="22"/>
                <w:u w:val="none"/>
                <w:lang w:val="en-US" w:eastAsia="zh-CN" w:bidi="ar"/>
              </w:rPr>
              <w:t>8,004.88</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b w:val="0"/>
                <w:bCs w:val="0"/>
                <w:kern w:val="0"/>
                <w:szCs w:val="21"/>
              </w:rPr>
            </w:pPr>
            <w:r>
              <w:rPr>
                <w:rFonts w:hint="eastAsia" w:ascii="宋体" w:hAnsi="宋体" w:eastAsia="宋体" w:cs="宋体"/>
                <w:b w:val="0"/>
                <w:bCs w:val="0"/>
                <w:i w:val="0"/>
                <w:iCs w:val="0"/>
                <w:color w:val="000000"/>
                <w:kern w:val="0"/>
                <w:sz w:val="22"/>
                <w:szCs w:val="22"/>
                <w:u w:val="none"/>
                <w:lang w:val="en-US" w:eastAsia="zh-CN" w:bidi="ar"/>
              </w:rPr>
              <w:t>965.30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b w:val="0"/>
                <w:bCs w:val="0"/>
                <w:kern w:val="0"/>
                <w:szCs w:val="21"/>
              </w:rPr>
            </w:pPr>
            <w:r>
              <w:rPr>
                <w:rFonts w:hint="eastAsia" w:ascii="宋体" w:hAnsi="宋体" w:eastAsia="宋体" w:cs="宋体"/>
                <w:b w:val="0"/>
                <w:bCs w:val="0"/>
                <w:i w:val="0"/>
                <w:iCs w:val="0"/>
                <w:color w:val="000000"/>
                <w:kern w:val="0"/>
                <w:sz w:val="22"/>
                <w:szCs w:val="22"/>
                <w:u w:val="none"/>
                <w:lang w:val="en-US" w:eastAsia="zh-CN" w:bidi="ar"/>
              </w:rPr>
              <w:t>7,039.58</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0.59</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0.59</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文化和旅游</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0.59</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0.59</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文化活动</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0.59</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7,983.62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944.05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7,039.58</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民政管理事务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1,039.52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845.98</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193.54</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845.98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845.98</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2080299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其他民政管理事务支出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193.54</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193.54</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95.00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95.00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行政单位离退休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0.41</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0.41</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82.41</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82.41</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12.18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12.18</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抚恤</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死亡抚恤</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社会福利</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394.78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394.78</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儿童福利</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279.88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279.88</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老年福利</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114.90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114.90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残疾人事业</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645.30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645.30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2081107</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残疾人生活和护理补贴</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645.30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645.30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最低生活保障</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3,401.18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3,401.18</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2081901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城市最低生活保障金支出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508.32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508.32</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2081902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农村最低生活保障金支出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2,892.86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2,892.86</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临时救助</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584.79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584.79</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2082001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临时救助支出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577.80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577.80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2082002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流浪乞讨人员救助支出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特困人员救助供养</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1,794.74</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1,794.74</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城市特困人员救助供养支出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33.79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33.79</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2082102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农村特困人员救助供养支出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1,760.94</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1,760.94</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其他生活救助</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2082502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其他农村生活救助</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12.25</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12.25</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18.87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18.87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18.87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18.87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18.87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18.87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i w:val="0"/>
                <w:iCs w:val="0"/>
                <w:color w:val="000000"/>
                <w:kern w:val="0"/>
                <w:sz w:val="22"/>
                <w:szCs w:val="22"/>
                <w:u w:val="none"/>
                <w:lang w:val="en-US" w:eastAsia="zh-CN" w:bidi="ar"/>
              </w:rPr>
            </w:pP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eastAsia="zh-CN"/>
        </w:rPr>
        <w:t>蓝山县民政局</w:t>
      </w:r>
      <w:r>
        <w:rPr>
          <w:rFonts w:ascii="Times New Roman" w:hAnsi="Times New Roman" w:eastAsia="仿宋_GB2312" w:cs="Times New Roman"/>
          <w:color w:val="000000"/>
          <w:kern w:val="0"/>
          <w:szCs w:val="21"/>
        </w:rPr>
        <w:t xml:space="preserve">                                                                                                  公开06表</w:t>
      </w:r>
    </w:p>
    <w:p>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2"/>
        <w:tblW w:w="14627" w:type="dxa"/>
        <w:jc w:val="center"/>
        <w:tblInd w:w="0" w:type="dxa"/>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tblPrEx>
          <w:tblLayout w:type="fixed"/>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vAlign w:val="center"/>
          </w:tcPr>
          <w:p>
            <w:pPr>
              <w:widowControl/>
              <w:ind w:firstLine="210" w:firstLineChars="100"/>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876.66</w:t>
            </w:r>
          </w:p>
          <w:tbl>
            <w:tblPr>
              <w:tblStyle w:val="12"/>
              <w:tblW w:w="652"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52" w:type="dxa"/>
                  <w:tcBorders>
                    <w:top w:val="single" w:color="D4D4D4" w:sz="4" w:space="0"/>
                    <w:left w:val="single" w:color="D4D4D4" w:sz="4" w:space="0"/>
                    <w:bottom w:val="single" w:color="D4D4D4" w:sz="4" w:space="0"/>
                    <w:right w:val="single" w:color="D4D4D4"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876.66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0" w:hRule="atLeast"/>
              </w:trPr>
              <w:tc>
                <w:tcPr>
                  <w:tcW w:w="652" w:type="dxa"/>
                  <w:tcBorders>
                    <w:top w:val="single" w:color="D4D4D4" w:sz="4" w:space="0"/>
                    <w:left w:val="single" w:color="D4D4D4" w:sz="4" w:space="0"/>
                    <w:bottom w:val="single" w:color="D4D4D4" w:sz="4" w:space="0"/>
                    <w:right w:val="single" w:color="D4D4D4"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52" w:type="dxa"/>
                  <w:tcBorders>
                    <w:top w:val="single" w:color="D4D4D4" w:sz="4" w:space="0"/>
                    <w:left w:val="single" w:color="D4D4D4" w:sz="4" w:space="0"/>
                    <w:bottom w:val="single" w:color="D4D4D4" w:sz="4" w:space="0"/>
                    <w:right w:val="single" w:color="D4D4D4"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0" w:hRule="atLeast"/>
              </w:trPr>
              <w:tc>
                <w:tcPr>
                  <w:tcW w:w="652" w:type="dxa"/>
                  <w:tcBorders>
                    <w:top w:val="single" w:color="D4D4D4" w:sz="4" w:space="0"/>
                    <w:left w:val="single" w:color="D4D4D4" w:sz="4" w:space="0"/>
                    <w:bottom w:val="single" w:color="D4D4D4" w:sz="4" w:space="0"/>
                    <w:right w:val="single" w:color="D4D4D4"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0" w:hRule="atLeast"/>
              </w:trPr>
              <w:tc>
                <w:tcPr>
                  <w:tcW w:w="652" w:type="dxa"/>
                  <w:tcBorders>
                    <w:top w:val="single" w:color="D4D4D4" w:sz="4" w:space="0"/>
                    <w:left w:val="single" w:color="D4D4D4" w:sz="4" w:space="0"/>
                    <w:bottom w:val="single" w:color="D4D4D4" w:sz="4" w:space="0"/>
                    <w:right w:val="single" w:color="D4D4D4"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0" w:hRule="atLeast"/>
              </w:trPr>
              <w:tc>
                <w:tcPr>
                  <w:tcW w:w="652" w:type="dxa"/>
                  <w:tcBorders>
                    <w:top w:val="single" w:color="D4D4D4" w:sz="4" w:space="0"/>
                    <w:left w:val="single" w:color="D4D4D4" w:sz="4" w:space="0"/>
                    <w:bottom w:val="single" w:color="D4D4D4" w:sz="4" w:space="0"/>
                    <w:right w:val="single" w:color="D4D4D4"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0" w:hRule="atLeast"/>
              </w:trPr>
              <w:tc>
                <w:tcPr>
                  <w:tcW w:w="652" w:type="dxa"/>
                  <w:tcBorders>
                    <w:top w:val="single" w:color="D4D4D4" w:sz="4" w:space="0"/>
                    <w:left w:val="single" w:color="D4D4D4" w:sz="4" w:space="0"/>
                    <w:bottom w:val="single" w:color="D4D4D4" w:sz="4" w:space="0"/>
                    <w:right w:val="single" w:color="D4D4D4"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82.08</w:t>
                  </w:r>
                </w:p>
              </w:tc>
            </w:tr>
          </w:tbl>
          <w:p>
            <w:pPr>
              <w:widowControl/>
              <w:jc w:val="lef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68.75</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vAlign w:val="center"/>
          </w:tcPr>
          <w:p>
            <w:pPr>
              <w:widowControl/>
              <w:ind w:firstLine="210" w:firstLineChars="100"/>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303.31</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6.39</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vAlign w:val="center"/>
          </w:tcPr>
          <w:p>
            <w:pPr>
              <w:widowControl/>
              <w:ind w:firstLine="210" w:firstLineChars="100"/>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30.64</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1.77</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vAlign w:val="center"/>
          </w:tcPr>
          <w:p>
            <w:pPr>
              <w:widowControl/>
              <w:ind w:firstLine="210" w:firstLineChars="100"/>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231.8</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vAlign w:val="center"/>
          </w:tcPr>
          <w:p>
            <w:pPr>
              <w:widowControl/>
              <w:ind w:firstLine="210" w:firstLineChars="100"/>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10</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vAlign w:val="center"/>
          </w:tcPr>
          <w:p>
            <w:pPr>
              <w:widowControl/>
              <w:ind w:firstLine="210" w:firstLineChars="100"/>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167.17</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0.36</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82.08</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2.75</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34"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0.7</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37.49</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4.49</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4.18</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9.67</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19.9</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1.38</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5.2</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3.07</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13.34</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1.34</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29.47</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1.73</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3.06</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pPr>
              <w:widowControl/>
              <w:jc w:val="left"/>
              <w:rPr>
                <w:rFonts w:ascii="Times New Roman" w:hAnsi="Times New Roman" w:eastAsia="仿宋_GB2312" w:cs="Times New Roman"/>
                <w:color w:val="000000"/>
                <w:kern w:val="0"/>
                <w:szCs w:val="20"/>
              </w:rPr>
            </w:pPr>
          </w:p>
          <w:tbl>
            <w:tblPr>
              <w:tblStyle w:val="12"/>
              <w:tblW w:w="3946" w:type="dxa"/>
              <w:tblInd w:w="0" w:type="dxa"/>
              <w:tblLayout w:type="fixed"/>
              <w:tblCellMar>
                <w:top w:w="0" w:type="dxa"/>
                <w:left w:w="108" w:type="dxa"/>
                <w:bottom w:w="0" w:type="dxa"/>
                <w:right w:w="108" w:type="dxa"/>
              </w:tblCellMar>
            </w:tblPr>
            <w:tblGrid>
              <w:gridCol w:w="3946"/>
            </w:tblGrid>
            <w:tr>
              <w:tblPrEx>
                <w:tblLayout w:type="fixed"/>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tblPrEx>
                <w:tblLayout w:type="fixed"/>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pPr>
              <w:widowControl/>
              <w:jc w:val="left"/>
              <w:rPr>
                <w:rFonts w:ascii="Times New Roman" w:hAnsi="Times New Roman" w:eastAsia="仿宋_GB2312" w:cs="Times New Roman"/>
                <w:color w:val="000000"/>
                <w:kern w:val="0"/>
                <w:szCs w:val="20"/>
              </w:rPr>
            </w:pPr>
          </w:p>
          <w:tbl>
            <w:tblPr>
              <w:tblStyle w:val="12"/>
              <w:tblW w:w="3946" w:type="dxa"/>
              <w:tblInd w:w="0" w:type="dxa"/>
              <w:tblLayout w:type="fixed"/>
              <w:tblCellMar>
                <w:top w:w="0" w:type="dxa"/>
                <w:left w:w="108" w:type="dxa"/>
                <w:bottom w:w="0" w:type="dxa"/>
                <w:right w:w="108" w:type="dxa"/>
              </w:tblCellMar>
            </w:tblPr>
            <w:tblGrid>
              <w:gridCol w:w="3946"/>
            </w:tblGrid>
            <w:tr>
              <w:tblPrEx>
                <w:tblLayout w:type="fixed"/>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tblPrEx>
                <w:tblLayout w:type="fixed"/>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10.01</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1.77</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2.13</w:t>
            </w:r>
          </w:p>
        </w:tc>
        <w:tc>
          <w:tcPr>
            <w:tcW w:w="12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vAlign w:val="center"/>
          </w:tcPr>
          <w:p>
            <w:pPr>
              <w:widowControl/>
              <w:ind w:firstLine="210" w:firstLineChars="100"/>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896.56</w:t>
            </w:r>
          </w:p>
        </w:tc>
        <w:tc>
          <w:tcPr>
            <w:tcW w:w="8801"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68.75</w:t>
            </w:r>
          </w:p>
        </w:tc>
      </w:tr>
    </w:tbl>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蓝山县民政局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2"/>
        <w:tblW w:w="14326" w:type="dxa"/>
        <w:jc w:val="center"/>
        <w:tblInd w:w="0" w:type="dxa"/>
        <w:tblLayout w:type="fixed"/>
        <w:tblCellMar>
          <w:top w:w="0" w:type="dxa"/>
          <w:left w:w="108" w:type="dxa"/>
          <w:bottom w:w="0" w:type="dxa"/>
          <w:right w:w="108" w:type="dxa"/>
        </w:tblCellMar>
      </w:tblPr>
      <w:tblGrid>
        <w:gridCol w:w="1497"/>
        <w:gridCol w:w="2355"/>
        <w:gridCol w:w="1228"/>
        <w:gridCol w:w="1652"/>
        <w:gridCol w:w="1822"/>
        <w:gridCol w:w="2407"/>
        <w:gridCol w:w="2097"/>
        <w:gridCol w:w="1268"/>
      </w:tblGrid>
      <w:tr>
        <w:tblPrEx>
          <w:tblLayout w:type="fixed"/>
          <w:tblCellMar>
            <w:top w:w="0" w:type="dxa"/>
            <w:left w:w="108" w:type="dxa"/>
            <w:bottom w:w="0" w:type="dxa"/>
            <w:right w:w="108" w:type="dxa"/>
          </w:tblCellMar>
        </w:tblPrEx>
        <w:trPr>
          <w:trHeight w:val="459" w:hRule="atLeast"/>
          <w:jc w:val="center"/>
        </w:trPr>
        <w:tc>
          <w:tcPr>
            <w:tcW w:w="38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8"/>
                <w:rFonts w:hint="default" w:ascii="Times New Roman" w:hAnsi="Times New Roman" w:eastAsia="仿宋_GB2312" w:cs="Times New Roman"/>
                <w:b/>
                <w:bCs/>
                <w:lang w:bidi="ar"/>
              </w:rPr>
              <w:t xml:space="preserve">   </w:t>
            </w:r>
            <w:r>
              <w:rPr>
                <w:rStyle w:val="19"/>
                <w:rFonts w:hint="default" w:ascii="Times New Roman" w:hAnsi="Times New Roman" w:eastAsia="仿宋_GB2312" w:cs="Times New Roman"/>
                <w:b/>
                <w:bCs/>
                <w:lang w:bidi="ar"/>
              </w:rPr>
              <w:t>目</w:t>
            </w:r>
          </w:p>
        </w:tc>
        <w:tc>
          <w:tcPr>
            <w:tcW w:w="12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63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2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tblPrEx>
          <w:tblLayout w:type="fixed"/>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23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8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24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2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8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2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2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8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2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2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38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24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tblPrEx>
          <w:tblLayout w:type="fixed"/>
          <w:tblCellMar>
            <w:top w:w="0" w:type="dxa"/>
            <w:left w:w="108" w:type="dxa"/>
            <w:bottom w:w="0" w:type="dxa"/>
            <w:right w:w="108" w:type="dxa"/>
          </w:tblCellMar>
        </w:tblPrEx>
        <w:trPr>
          <w:trHeight w:val="509" w:hRule="atLeast"/>
          <w:jc w:val="center"/>
        </w:trPr>
        <w:tc>
          <w:tcPr>
            <w:tcW w:w="38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2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其他支出</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1,655.81</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1,655.81</w:t>
            </w:r>
          </w:p>
        </w:tc>
        <w:tc>
          <w:tcPr>
            <w:tcW w:w="2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4"/>
                <w:szCs w:val="24"/>
              </w:rPr>
            </w:pP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1,655.81</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22904</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1,492.56</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1,492.56</w:t>
            </w:r>
          </w:p>
        </w:tc>
        <w:tc>
          <w:tcPr>
            <w:tcW w:w="2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4"/>
                <w:szCs w:val="24"/>
              </w:rPr>
            </w:pP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1,492.56</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2290402</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1,492.56</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1,492.56</w:t>
            </w:r>
          </w:p>
        </w:tc>
        <w:tc>
          <w:tcPr>
            <w:tcW w:w="2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4"/>
                <w:szCs w:val="24"/>
              </w:rPr>
            </w:pP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1,492.56</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22960</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163.25</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163.25</w:t>
            </w:r>
          </w:p>
        </w:tc>
        <w:tc>
          <w:tcPr>
            <w:tcW w:w="2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4"/>
                <w:szCs w:val="24"/>
              </w:rPr>
            </w:pP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163.25</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2296002</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163.25</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163.25</w:t>
            </w:r>
          </w:p>
        </w:tc>
        <w:tc>
          <w:tcPr>
            <w:tcW w:w="2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4"/>
                <w:szCs w:val="24"/>
              </w:rPr>
            </w:pP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163.25</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lang w:bidi="ar"/>
        </w:rPr>
      </w:pP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蓝山县民政局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2"/>
        <w:tblW w:w="14217" w:type="dxa"/>
        <w:tblInd w:w="0" w:type="dxa"/>
        <w:tblLayout w:type="fixed"/>
        <w:tblCellMar>
          <w:top w:w="0" w:type="dxa"/>
          <w:left w:w="108" w:type="dxa"/>
          <w:bottom w:w="0" w:type="dxa"/>
          <w:right w:w="108" w:type="dxa"/>
        </w:tblCellMar>
      </w:tblPr>
      <w:tblGrid>
        <w:gridCol w:w="3094"/>
        <w:gridCol w:w="3097"/>
        <w:gridCol w:w="1832"/>
        <w:gridCol w:w="3097"/>
        <w:gridCol w:w="3097"/>
      </w:tblGrid>
      <w:tr>
        <w:tblPrEx>
          <w:tblLayout w:type="fixed"/>
          <w:tblCellMar>
            <w:top w:w="0" w:type="dxa"/>
            <w:left w:w="108" w:type="dxa"/>
            <w:bottom w:w="0" w:type="dxa"/>
            <w:right w:w="108" w:type="dxa"/>
          </w:tblCellMar>
        </w:tblPrEx>
        <w:trPr>
          <w:trHeight w:val="548" w:hRule="atLeast"/>
        </w:trPr>
        <w:tc>
          <w:tcPr>
            <w:tcW w:w="6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20"/>
                <w:rFonts w:hint="default" w:ascii="Times New Roman" w:hAnsi="Times New Roman" w:eastAsia="仿宋_GB2312" w:cs="Times New Roman"/>
                <w:b/>
                <w:bCs/>
                <w:lang w:bidi="ar"/>
              </w:rPr>
              <w:t>目</w:t>
            </w:r>
          </w:p>
        </w:tc>
        <w:tc>
          <w:tcPr>
            <w:tcW w:w="8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tblPrEx>
          <w:tblLayout w:type="fixed"/>
          <w:tblCellMar>
            <w:top w:w="0" w:type="dxa"/>
            <w:left w:w="108" w:type="dxa"/>
            <w:bottom w:w="0" w:type="dxa"/>
            <w:right w:w="108" w:type="dxa"/>
          </w:tblCellMar>
        </w:tblPrEx>
        <w:trPr>
          <w:trHeight w:val="312" w:hRule="exact"/>
        </w:trPr>
        <w:tc>
          <w:tcPr>
            <w:tcW w:w="3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tblPrEx>
          <w:tblLayout w:type="fixed"/>
          <w:tblCellMar>
            <w:top w:w="0" w:type="dxa"/>
            <w:left w:w="108" w:type="dxa"/>
            <w:bottom w:w="0" w:type="dxa"/>
            <w:right w:w="108" w:type="dxa"/>
          </w:tblCellMar>
        </w:tblPrEx>
        <w:trPr>
          <w:trHeight w:val="312" w:hRule="exact"/>
        </w:trPr>
        <w:tc>
          <w:tcPr>
            <w:tcW w:w="3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312" w:hRule="atLeast"/>
        </w:trPr>
        <w:tc>
          <w:tcPr>
            <w:tcW w:w="3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6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tblPrEx>
          <w:tblLayout w:type="fixed"/>
          <w:tblCellMar>
            <w:top w:w="0" w:type="dxa"/>
            <w:left w:w="108" w:type="dxa"/>
            <w:bottom w:w="0" w:type="dxa"/>
            <w:right w:w="108" w:type="dxa"/>
          </w:tblCellMar>
        </w:tblPrEx>
        <w:trPr>
          <w:trHeight w:val="548" w:hRule="atLeast"/>
        </w:trPr>
        <w:tc>
          <w:tcPr>
            <w:tcW w:w="6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eastAsia="zh-CN"/>
              </w:rPr>
              <w:t>无</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pPr>
        <w:widowControl/>
        <w:jc w:val="center"/>
        <w:rPr>
          <w:rFonts w:ascii="Times New Roman" w:hAnsi="Times New Roman" w:eastAsia="方正小标宋_GBK" w:cs="Times New Roman"/>
          <w:color w:val="000000"/>
          <w:kern w:val="0"/>
          <w:sz w:val="36"/>
          <w:szCs w:val="36"/>
        </w:rPr>
      </w:pPr>
    </w:p>
    <w:p>
      <w:pPr>
        <w:pStyle w:val="9"/>
        <w:spacing w:line="400" w:lineRule="exact"/>
        <w:rPr>
          <w:rFonts w:ascii="Times New Roman" w:hAnsi="Times New Roman" w:eastAsia="华文中宋"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eastAsia="zh-CN" w:bidi="ar"/>
        </w:rPr>
        <w:t>蓝山县民政局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2"/>
        <w:tblW w:w="14544" w:type="dxa"/>
        <w:jc w:val="center"/>
        <w:tblInd w:w="0" w:type="dxa"/>
        <w:tblLayout w:type="fixed"/>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Layout w:type="fixed"/>
          <w:tblCellMar>
            <w:top w:w="0" w:type="dxa"/>
            <w:left w:w="108" w:type="dxa"/>
            <w:bottom w:w="0" w:type="dxa"/>
            <w:right w:w="108" w:type="dxa"/>
          </w:tblCellMar>
        </w:tblPrEx>
        <w:trPr>
          <w:trHeight w:val="606" w:hRule="atLeast"/>
          <w:jc w:val="center"/>
        </w:trPr>
        <w:tc>
          <w:tcPr>
            <w:tcW w:w="723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73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tblPrEx>
          <w:tblLayout w:type="fixed"/>
          <w:tblCellMar>
            <w:top w:w="0" w:type="dxa"/>
            <w:left w:w="108" w:type="dxa"/>
            <w:bottom w:w="0" w:type="dxa"/>
            <w:right w:w="108" w:type="dxa"/>
          </w:tblCellMar>
        </w:tblPrEx>
        <w:trPr>
          <w:trHeight w:val="495" w:hRule="atLeast"/>
          <w:jc w:val="center"/>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12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36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3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36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tblPrEx>
          <w:tblLayout w:type="fixed"/>
          <w:tblCellMar>
            <w:top w:w="0" w:type="dxa"/>
            <w:left w:w="108" w:type="dxa"/>
            <w:bottom w:w="0" w:type="dxa"/>
            <w:right w:w="108" w:type="dxa"/>
          </w:tblCellMar>
        </w:tblPrEx>
        <w:trPr>
          <w:trHeight w:val="864"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13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Layout w:type="fixed"/>
          <w:tblCellMar>
            <w:top w:w="0" w:type="dxa"/>
            <w:left w:w="108" w:type="dxa"/>
            <w:bottom w:w="0" w:type="dxa"/>
            <w:right w:w="108" w:type="dxa"/>
          </w:tblCellMar>
        </w:tblPrEx>
        <w:trPr>
          <w:trHeight w:val="614"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kern w:val="0"/>
                <w:sz w:val="22"/>
                <w:lang w:val="en-US" w:eastAsia="zh-CN" w:bidi="ar"/>
              </w:rPr>
              <w:t xml:space="preserve"> </w:t>
            </w:r>
            <w:r>
              <w:rPr>
                <w:rFonts w:ascii="Times New Roman" w:hAnsi="Times New Roman" w:eastAsia="仿宋_GB2312" w:cs="Times New Roman"/>
                <w:color w:val="000000"/>
                <w:kern w:val="0"/>
                <w:sz w:val="22"/>
                <w:lang w:bidi="ar"/>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tblPrEx>
          <w:tblLayout w:type="fixed"/>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5.2</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5.2</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5.2</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pPr>
        <w:pStyle w:val="15"/>
        <w:rPr>
          <w:rFonts w:ascii="Times New Roman" w:hAnsi="Times New Roman" w:cs="Times New Roman"/>
          <w:sz w:val="72"/>
          <w:szCs w:val="72"/>
        </w:rPr>
      </w:pPr>
    </w:p>
    <w:p>
      <w:pPr>
        <w:pStyle w:val="15"/>
        <w:rPr>
          <w:rFonts w:ascii="Times New Roman" w:hAnsi="Times New Roman" w:cs="Times New Roman"/>
          <w:sz w:val="72"/>
          <w:szCs w:val="72"/>
        </w:rPr>
      </w:pPr>
    </w:p>
    <w:p>
      <w:pPr>
        <w:pStyle w:val="15"/>
        <w:rPr>
          <w:rFonts w:ascii="Times New Roman" w:hAnsi="Times New Roman" w:cs="Times New Roman"/>
          <w:sz w:val="72"/>
          <w:szCs w:val="72"/>
        </w:rPr>
      </w:pPr>
    </w:p>
    <w:p>
      <w:pPr>
        <w:pStyle w:val="15"/>
        <w:jc w:val="center"/>
        <w:rPr>
          <w:rFonts w:ascii="Times New Roman" w:hAnsi="Times New Roman" w:cs="Times New Roman"/>
          <w:sz w:val="72"/>
          <w:szCs w:val="72"/>
        </w:rPr>
      </w:pPr>
    </w:p>
    <w:p>
      <w:pPr>
        <w:pStyle w:val="15"/>
        <w:jc w:val="center"/>
        <w:rPr>
          <w:rFonts w:ascii="Times New Roman" w:hAnsi="Times New Roman" w:eastAsia="方正小标宋_GBK" w:cs="Times New Roman"/>
          <w:sz w:val="72"/>
          <w:szCs w:val="7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snapToGrid w:val="0"/>
        <w:spacing w:line="52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
          <w:bCs/>
          <w:color w:val="auto"/>
          <w:sz w:val="32"/>
          <w:szCs w:val="32"/>
          <w:lang w:val="en-US" w:eastAsia="zh-CN"/>
        </w:rPr>
        <w:t>2024</w:t>
      </w:r>
      <w:r>
        <w:rPr>
          <w:rFonts w:hint="eastAsia" w:ascii="Times New Roman" w:hAnsi="Times New Roman" w:eastAsia="仿宋_GB2312" w:cs="Times New Roman"/>
          <w:bCs/>
          <w:color w:val="auto"/>
          <w:sz w:val="32"/>
          <w:szCs w:val="32"/>
        </w:rPr>
        <w:t>年度</w:t>
      </w:r>
      <w:r>
        <w:rPr>
          <w:rFonts w:ascii="Times New Roman" w:hAnsi="Times New Roman" w:eastAsia="仿宋_GB2312" w:cs="Times New Roman"/>
          <w:color w:val="auto"/>
          <w:sz w:val="32"/>
          <w:szCs w:val="32"/>
        </w:rPr>
        <w:t>收、支总计</w:t>
      </w:r>
      <w:r>
        <w:rPr>
          <w:rFonts w:hint="eastAsia" w:ascii="Times New Roman" w:hAnsi="Times New Roman" w:eastAsia="仿宋_GB2312" w:cs="Times New Roman"/>
          <w:color w:val="auto"/>
          <w:sz w:val="32"/>
          <w:szCs w:val="32"/>
          <w:lang w:val="en-US" w:eastAsia="zh-CN"/>
        </w:rPr>
        <w:t>9660.69</w:t>
      </w:r>
      <w:r>
        <w:rPr>
          <w:rFonts w:ascii="Times New Roman" w:hAnsi="Times New Roman" w:eastAsia="仿宋_GB2312" w:cs="Times New Roman"/>
          <w:color w:val="auto"/>
          <w:sz w:val="32"/>
          <w:szCs w:val="32"/>
        </w:rPr>
        <w:t>万元。与</w:t>
      </w:r>
      <w:r>
        <w:rPr>
          <w:rFonts w:hint="eastAsia" w:ascii="Times New Roman" w:hAnsi="Times New Roman" w:eastAsia="仿宋_GB2312" w:cs="Times New Roman"/>
          <w:color w:val="auto"/>
          <w:sz w:val="32"/>
          <w:szCs w:val="32"/>
          <w:lang w:val="en-US" w:eastAsia="zh-CN"/>
        </w:rPr>
        <w:t>上</w:t>
      </w:r>
      <w:r>
        <w:rPr>
          <w:rFonts w:ascii="Times New Roman" w:hAnsi="Times New Roman" w:eastAsia="仿宋_GB2312" w:cs="Times New Roman"/>
          <w:color w:val="auto"/>
          <w:sz w:val="32"/>
          <w:szCs w:val="32"/>
        </w:rPr>
        <w:t>年相比，</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153.3</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1.61</w:t>
      </w:r>
      <w:r>
        <w:rPr>
          <w:rFonts w:ascii="Times New Roman" w:hAnsi="Times New Roman" w:eastAsia="仿宋_GB2312" w:cs="Times New Roman"/>
          <w:color w:val="auto"/>
          <w:sz w:val="32"/>
          <w:szCs w:val="32"/>
        </w:rPr>
        <w:t>%，主要是因为</w:t>
      </w:r>
      <w:r>
        <w:rPr>
          <w:rFonts w:hint="eastAsia" w:ascii="Times New Roman" w:hAnsi="Times New Roman" w:eastAsia="仿宋_GB2312" w:cs="Times New Roman"/>
          <w:color w:val="auto"/>
          <w:sz w:val="32"/>
          <w:szCs w:val="32"/>
          <w:lang w:eastAsia="zh-CN"/>
        </w:rPr>
        <w:t>本年度人员福利费用增加。</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color w:val="auto"/>
          <w:sz w:val="32"/>
          <w:szCs w:val="32"/>
          <w:u w:val="none"/>
          <w:lang w:val="en-US" w:eastAsia="zh-CN"/>
        </w:rPr>
        <w:t>2024</w:t>
      </w:r>
      <w:r>
        <w:rPr>
          <w:rFonts w:ascii="Times New Roman" w:hAnsi="Times New Roman" w:eastAsia="仿宋_GB2312" w:cs="Times New Roman"/>
          <w:color w:val="auto"/>
          <w:sz w:val="32"/>
          <w:szCs w:val="32"/>
          <w:u w:val="none"/>
        </w:rPr>
        <w:t>年</w:t>
      </w:r>
      <w:r>
        <w:rPr>
          <w:rFonts w:hint="eastAsia" w:ascii="Times New Roman" w:hAnsi="Times New Roman" w:eastAsia="仿宋_GB2312" w:cs="Times New Roman"/>
          <w:color w:val="auto"/>
          <w:sz w:val="32"/>
          <w:szCs w:val="32"/>
          <w:u w:val="none"/>
          <w:lang w:eastAsia="zh-CN"/>
        </w:rPr>
        <w:t>度</w:t>
      </w:r>
      <w:r>
        <w:rPr>
          <w:rFonts w:ascii="Times New Roman" w:hAnsi="Times New Roman" w:eastAsia="仿宋_GB2312" w:cs="Times New Roman"/>
          <w:color w:val="auto"/>
          <w:sz w:val="32"/>
          <w:szCs w:val="32"/>
          <w:u w:val="none"/>
        </w:rPr>
        <w:t>收入合计</w:t>
      </w:r>
      <w:r>
        <w:rPr>
          <w:rFonts w:hint="eastAsia" w:ascii="Times New Roman" w:hAnsi="Times New Roman" w:eastAsia="仿宋_GB2312" w:cs="Times New Roman"/>
          <w:color w:val="auto"/>
          <w:sz w:val="32"/>
          <w:szCs w:val="32"/>
          <w:u w:val="none"/>
          <w:lang w:val="en-US" w:eastAsia="zh-CN"/>
        </w:rPr>
        <w:t>9660.69</w:t>
      </w:r>
      <w:r>
        <w:rPr>
          <w:rFonts w:ascii="Times New Roman" w:hAnsi="Times New Roman" w:eastAsia="仿宋_GB2312" w:cs="Times New Roman"/>
          <w:color w:val="auto"/>
          <w:sz w:val="32"/>
          <w:szCs w:val="32"/>
          <w:u w:val="none"/>
        </w:rPr>
        <w:t>万元，其中：</w:t>
      </w:r>
      <w:r>
        <w:rPr>
          <w:rFonts w:hint="eastAsia" w:ascii="Times New Roman" w:hAnsi="Times New Roman" w:eastAsia="仿宋_GB2312" w:cs="Times New Roman"/>
          <w:color w:val="auto"/>
          <w:sz w:val="32"/>
          <w:szCs w:val="32"/>
          <w:u w:val="none"/>
          <w:lang w:eastAsia="zh-CN"/>
        </w:rPr>
        <w:t>一般公共</w:t>
      </w:r>
      <w:r>
        <w:rPr>
          <w:rFonts w:ascii="Times New Roman" w:hAnsi="Times New Roman" w:eastAsia="仿宋_GB2312" w:cs="Times New Roman"/>
          <w:color w:val="auto"/>
          <w:sz w:val="32"/>
          <w:szCs w:val="32"/>
          <w:u w:val="none"/>
        </w:rPr>
        <w:t>财政拨款收入</w:t>
      </w:r>
      <w:r>
        <w:rPr>
          <w:rFonts w:hint="eastAsia" w:ascii="Times New Roman" w:hAnsi="Times New Roman" w:eastAsia="仿宋_GB2312" w:cs="Times New Roman"/>
          <w:color w:val="auto"/>
          <w:sz w:val="32"/>
          <w:szCs w:val="32"/>
          <w:u w:val="none"/>
          <w:lang w:val="en-US" w:eastAsia="zh-CN"/>
        </w:rPr>
        <w:t>8004.88</w:t>
      </w:r>
      <w:r>
        <w:rPr>
          <w:rFonts w:ascii="Times New Roman" w:hAnsi="Times New Roman" w:eastAsia="仿宋_GB2312" w:cs="Times New Roman"/>
          <w:color w:val="auto"/>
          <w:sz w:val="32"/>
          <w:szCs w:val="32"/>
          <w:u w:val="none"/>
        </w:rPr>
        <w:t>万元，占</w:t>
      </w:r>
      <w:r>
        <w:rPr>
          <w:rFonts w:hint="eastAsia" w:ascii="Times New Roman" w:hAnsi="Times New Roman" w:eastAsia="仿宋_GB2312" w:cs="Times New Roman"/>
          <w:color w:val="auto"/>
          <w:sz w:val="32"/>
          <w:szCs w:val="32"/>
          <w:u w:val="none"/>
          <w:lang w:val="en-US" w:eastAsia="zh-CN"/>
        </w:rPr>
        <w:t>82.86</w:t>
      </w:r>
      <w:r>
        <w:rPr>
          <w:rFonts w:ascii="Times New Roman" w:hAnsi="Times New Roman" w:eastAsia="仿宋_GB2312" w:cs="Times New Roman"/>
          <w:color w:val="auto"/>
          <w:sz w:val="32"/>
          <w:szCs w:val="32"/>
          <w:u w:val="none"/>
        </w:rPr>
        <w:t xml:space="preserve"> %；</w:t>
      </w:r>
      <w:r>
        <w:rPr>
          <w:rFonts w:hint="eastAsia" w:ascii="仿宋_GB2312" w:hAnsi="仿宋_GB2312" w:eastAsia="仿宋_GB2312" w:cs="仿宋_GB2312"/>
          <w:kern w:val="0"/>
          <w:sz w:val="32"/>
          <w:szCs w:val="32"/>
          <w:u w:val="none"/>
        </w:rPr>
        <w:t>政府性基金财政拨款</w:t>
      </w:r>
      <w:r>
        <w:rPr>
          <w:rFonts w:ascii="Times New Roman" w:hAnsi="Times New Roman" w:eastAsia="仿宋_GB2312" w:cs="Times New Roman"/>
          <w:color w:val="auto"/>
          <w:sz w:val="32"/>
          <w:szCs w:val="32"/>
          <w:u w:val="none"/>
        </w:rPr>
        <w:t>收入</w:t>
      </w:r>
      <w:r>
        <w:rPr>
          <w:rFonts w:hint="eastAsia" w:ascii="Times New Roman" w:hAnsi="Times New Roman" w:eastAsia="仿宋_GB2312" w:cs="Times New Roman"/>
          <w:color w:val="auto"/>
          <w:sz w:val="32"/>
          <w:szCs w:val="32"/>
          <w:u w:val="none"/>
          <w:lang w:val="en-US" w:eastAsia="zh-CN"/>
        </w:rPr>
        <w:t>1655.81</w:t>
      </w:r>
      <w:r>
        <w:rPr>
          <w:rFonts w:ascii="Times New Roman" w:hAnsi="Times New Roman" w:eastAsia="仿宋_GB2312" w:cs="Times New Roman"/>
          <w:color w:val="auto"/>
          <w:sz w:val="32"/>
          <w:szCs w:val="32"/>
          <w:u w:val="none"/>
        </w:rPr>
        <w:t>万元，占</w:t>
      </w:r>
      <w:r>
        <w:rPr>
          <w:rFonts w:hint="eastAsia" w:ascii="Times New Roman" w:hAnsi="Times New Roman" w:eastAsia="仿宋_GB2312" w:cs="Times New Roman"/>
          <w:color w:val="auto"/>
          <w:sz w:val="32"/>
          <w:szCs w:val="32"/>
          <w:u w:val="none"/>
          <w:lang w:val="en-US" w:eastAsia="zh-CN"/>
        </w:rPr>
        <w:t>17.14</w:t>
      </w:r>
      <w:r>
        <w:rPr>
          <w:rFonts w:ascii="Times New Roman" w:hAnsi="Times New Roman" w:eastAsia="仿宋_GB2312" w:cs="Times New Roman"/>
          <w:color w:val="auto"/>
          <w:sz w:val="32"/>
          <w:szCs w:val="32"/>
          <w:u w:val="none"/>
        </w:rPr>
        <w:t>%。</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9660.69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965.3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8695.39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90</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9660.69</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153.3</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1.61</w:t>
      </w:r>
      <w:r>
        <w:rPr>
          <w:rFonts w:ascii="Times New Roman" w:hAnsi="Times New Roman" w:eastAsia="仿宋_GB2312" w:cs="Times New Roman"/>
          <w:color w:val="auto"/>
          <w:sz w:val="32"/>
          <w:szCs w:val="32"/>
        </w:rPr>
        <w:t>%，主要是因为</w:t>
      </w:r>
      <w:r>
        <w:rPr>
          <w:rFonts w:hint="eastAsia" w:ascii="Times New Roman" w:hAnsi="Times New Roman" w:eastAsia="仿宋_GB2312" w:cs="Times New Roman"/>
          <w:color w:val="auto"/>
          <w:sz w:val="32"/>
          <w:szCs w:val="32"/>
          <w:lang w:eastAsia="zh-CN"/>
        </w:rPr>
        <w:t>人员福利费用增加。</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color w:val="auto"/>
          <w:sz w:val="32"/>
          <w:szCs w:val="32"/>
          <w:lang w:val="en-US" w:eastAsia="zh-CN"/>
        </w:rPr>
        <w:t>8004.88</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82.86</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45.31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0.57</w:t>
      </w:r>
      <w:r>
        <w:rPr>
          <w:rFonts w:ascii="Times New Roman" w:hAnsi="Times New Roman" w:eastAsia="仿宋_GB2312" w:cs="Times New Roman"/>
          <w:sz w:val="32"/>
          <w:szCs w:val="32"/>
        </w:rPr>
        <w:t>%，主要是</w:t>
      </w:r>
      <w:r>
        <w:rPr>
          <w:rFonts w:ascii="Times New Roman" w:hAnsi="Times New Roman" w:eastAsia="仿宋_GB2312" w:cs="Times New Roman"/>
          <w:color w:val="auto"/>
          <w:sz w:val="32"/>
          <w:szCs w:val="32"/>
        </w:rPr>
        <w:t>因为</w:t>
      </w:r>
      <w:r>
        <w:rPr>
          <w:rFonts w:hint="eastAsia" w:ascii="Times New Roman" w:hAnsi="Times New Roman" w:eastAsia="仿宋_GB2312" w:cs="Times New Roman"/>
          <w:color w:val="auto"/>
          <w:sz w:val="32"/>
          <w:szCs w:val="32"/>
          <w:lang w:eastAsia="zh-CN"/>
        </w:rPr>
        <w:t>本年度人员福利费用增加。</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8004.88</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color w:val="auto"/>
          <w:sz w:val="32"/>
          <w:szCs w:val="32"/>
          <w:lang w:eastAsia="zh-CN"/>
        </w:rPr>
        <w:t>一般公共服务支出</w:t>
      </w:r>
      <w:r>
        <w:rPr>
          <w:rFonts w:hint="eastAsia" w:ascii="Times New Roman" w:hAnsi="Times New Roman" w:eastAsia="仿宋_GB2312" w:cs="Times New Roman"/>
          <w:color w:val="auto"/>
          <w:sz w:val="32"/>
          <w:szCs w:val="32"/>
          <w:lang w:val="en-US" w:eastAsia="zh-CN"/>
        </w:rPr>
        <w:t>1.8万元，占0.02%；</w:t>
      </w:r>
      <w:r>
        <w:rPr>
          <w:rFonts w:hint="eastAsia" w:ascii="Times New Roman" w:hAnsi="Times New Roman" w:eastAsia="仿宋_GB2312" w:cs="Times New Roman"/>
          <w:color w:val="auto"/>
          <w:sz w:val="32"/>
          <w:szCs w:val="32"/>
          <w:lang w:eastAsia="zh-CN"/>
        </w:rPr>
        <w:t>文化旅游体育与传媒支出</w:t>
      </w:r>
      <w:r>
        <w:rPr>
          <w:rFonts w:hint="eastAsia" w:ascii="Times New Roman" w:hAnsi="Times New Roman" w:eastAsia="仿宋_GB2312" w:cs="Times New Roman"/>
          <w:color w:val="auto"/>
          <w:sz w:val="32"/>
          <w:szCs w:val="32"/>
          <w:lang w:val="en-US" w:eastAsia="zh-CN"/>
        </w:rPr>
        <w:t>0.59万元，占0.01%；</w:t>
      </w:r>
      <w:r>
        <w:rPr>
          <w:rFonts w:hint="eastAsia" w:ascii="Times New Roman" w:hAnsi="Times New Roman" w:eastAsia="仿宋_GB2312" w:cs="Times New Roman"/>
          <w:color w:val="auto"/>
          <w:sz w:val="32"/>
          <w:szCs w:val="32"/>
          <w:lang w:eastAsia="zh-CN"/>
        </w:rPr>
        <w:t>社会保障和就业支出</w:t>
      </w:r>
      <w:r>
        <w:rPr>
          <w:rFonts w:hint="eastAsia" w:ascii="Times New Roman" w:hAnsi="Times New Roman" w:eastAsia="仿宋_GB2312" w:cs="Times New Roman"/>
          <w:color w:val="auto"/>
          <w:sz w:val="32"/>
          <w:szCs w:val="32"/>
          <w:lang w:val="en-US" w:eastAsia="zh-CN"/>
        </w:rPr>
        <w:t>7983.62万元，占99.73%；</w:t>
      </w:r>
      <w:r>
        <w:rPr>
          <w:rFonts w:hint="eastAsia" w:ascii="Times New Roman" w:hAnsi="Times New Roman" w:eastAsia="仿宋_GB2312" w:cs="Times New Roman"/>
          <w:color w:val="auto"/>
          <w:sz w:val="32"/>
          <w:szCs w:val="32"/>
          <w:lang w:eastAsia="zh-CN"/>
        </w:rPr>
        <w:t>卫生健康支出</w:t>
      </w:r>
      <w:r>
        <w:rPr>
          <w:rFonts w:hint="eastAsia" w:ascii="Times New Roman" w:hAnsi="Times New Roman" w:eastAsia="仿宋_GB2312" w:cs="Times New Roman"/>
          <w:color w:val="auto"/>
          <w:sz w:val="32"/>
          <w:szCs w:val="32"/>
          <w:lang w:val="en-US" w:eastAsia="zh-CN"/>
        </w:rPr>
        <w:t>18.87万元；占0.24%。</w:t>
      </w:r>
    </w:p>
    <w:p>
      <w:pPr>
        <w:pStyle w:val="15"/>
        <w:overflowPunct w:val="0"/>
        <w:autoSpaceDE/>
        <w:autoSpaceDN/>
        <w:spacing w:line="600" w:lineRule="exact"/>
        <w:ind w:firstLine="640" w:firstLineChars="200"/>
        <w:jc w:val="both"/>
        <w:rPr>
          <w:rFonts w:ascii="Times New Roman" w:hAnsi="Times New Roman" w:eastAsia="楷体_GB2312" w:cs="Times New Roman"/>
          <w:b/>
          <w:color w:val="auto"/>
          <w:sz w:val="32"/>
          <w:szCs w:val="32"/>
          <w:highlight w:val="none"/>
          <w:shd w:val="clear" w:color="auto" w:fill="auto"/>
        </w:rPr>
      </w:pPr>
      <w:r>
        <w:rPr>
          <w:rFonts w:ascii="Times New Roman" w:hAnsi="Times New Roman" w:eastAsia="楷体_GB2312" w:cs="Times New Roman"/>
          <w:b/>
          <w:color w:val="auto"/>
          <w:sz w:val="32"/>
          <w:szCs w:val="32"/>
          <w:highlight w:val="none"/>
          <w:shd w:val="clear" w:color="auto" w:fill="auto"/>
        </w:rPr>
        <w:t>（三）一般公共预算财政拨款支出决算具体情况</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highlight w:val="none"/>
          <w:shd w:val="clear" w:color="auto" w:fill="auto"/>
        </w:rPr>
      </w:pPr>
      <w:r>
        <w:rPr>
          <w:rFonts w:ascii="Times New Roman" w:hAnsi="Times New Roman" w:eastAsia="仿宋_GB2312" w:cs="Times New Roman"/>
          <w:color w:val="auto"/>
          <w:sz w:val="32"/>
          <w:szCs w:val="32"/>
          <w:highlight w:val="none"/>
          <w:shd w:val="clear" w:color="auto" w:fill="auto"/>
        </w:rPr>
        <w:t>2024年度财政拨款支出年初预算数为</w:t>
      </w:r>
      <w:r>
        <w:rPr>
          <w:rFonts w:hint="eastAsia" w:ascii="Times New Roman" w:hAnsi="Times New Roman" w:eastAsia="仿宋_GB2312" w:cs="Times New Roman"/>
          <w:color w:val="auto"/>
          <w:sz w:val="32"/>
          <w:szCs w:val="32"/>
          <w:highlight w:val="none"/>
          <w:shd w:val="clear" w:color="auto" w:fill="auto"/>
          <w:lang w:val="en-US" w:eastAsia="zh-CN"/>
        </w:rPr>
        <w:t>7636.14</w:t>
      </w:r>
      <w:r>
        <w:rPr>
          <w:rFonts w:ascii="Times New Roman" w:hAnsi="Times New Roman" w:eastAsia="仿宋_GB2312" w:cs="Times New Roman"/>
          <w:color w:val="auto"/>
          <w:sz w:val="32"/>
          <w:szCs w:val="32"/>
          <w:highlight w:val="none"/>
          <w:shd w:val="clear" w:color="auto" w:fill="auto"/>
        </w:rPr>
        <w:t>万元，支出决算数为</w:t>
      </w:r>
      <w:r>
        <w:rPr>
          <w:rFonts w:hint="eastAsia" w:ascii="Times New Roman" w:hAnsi="Times New Roman" w:eastAsia="仿宋_GB2312" w:cs="Times New Roman"/>
          <w:color w:val="auto"/>
          <w:sz w:val="32"/>
          <w:szCs w:val="32"/>
          <w:highlight w:val="none"/>
          <w:shd w:val="clear" w:color="auto" w:fill="auto"/>
          <w:lang w:val="en-US" w:eastAsia="zh-CN"/>
        </w:rPr>
        <w:t>8004.88</w:t>
      </w:r>
      <w:r>
        <w:rPr>
          <w:rFonts w:ascii="Times New Roman" w:hAnsi="Times New Roman" w:eastAsia="仿宋_GB2312" w:cs="Times New Roman"/>
          <w:color w:val="auto"/>
          <w:sz w:val="32"/>
          <w:szCs w:val="32"/>
          <w:highlight w:val="none"/>
          <w:shd w:val="clear" w:color="auto" w:fill="auto"/>
        </w:rPr>
        <w:t>万元，完成年初预算的</w:t>
      </w:r>
      <w:r>
        <w:rPr>
          <w:rFonts w:hint="eastAsia" w:ascii="Times New Roman" w:hAnsi="Times New Roman" w:eastAsia="仿宋_GB2312" w:cs="Times New Roman"/>
          <w:color w:val="auto"/>
          <w:sz w:val="32"/>
          <w:szCs w:val="32"/>
          <w:highlight w:val="none"/>
          <w:shd w:val="clear" w:color="auto" w:fill="auto"/>
          <w:lang w:val="en-US" w:eastAsia="zh-CN"/>
        </w:rPr>
        <w:t>104.83</w:t>
      </w:r>
      <w:r>
        <w:rPr>
          <w:rFonts w:ascii="Times New Roman" w:hAnsi="Times New Roman" w:eastAsia="仿宋_GB2312" w:cs="Times New Roman"/>
          <w:color w:val="auto"/>
          <w:sz w:val="32"/>
          <w:szCs w:val="32"/>
          <w:highlight w:val="none"/>
          <w:shd w:val="clear" w:color="auto" w:fill="auto"/>
        </w:rPr>
        <w:t>%，其中：</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highlight w:val="none"/>
          <w:shd w:val="clear" w:color="auto" w:fill="auto"/>
        </w:rPr>
      </w:pPr>
      <w:r>
        <w:rPr>
          <w:rFonts w:ascii="Times New Roman" w:hAnsi="Times New Roman" w:eastAsia="仿宋_GB2312" w:cs="Times New Roman"/>
          <w:color w:val="auto"/>
          <w:sz w:val="32"/>
          <w:szCs w:val="32"/>
          <w:highlight w:val="none"/>
          <w:shd w:val="clear" w:color="auto" w:fill="auto"/>
        </w:rPr>
        <w:t>1、一般公共服务</w:t>
      </w:r>
      <w:r>
        <w:rPr>
          <w:rFonts w:hint="eastAsia" w:ascii="Times New Roman" w:hAnsi="Times New Roman" w:eastAsia="仿宋_GB2312" w:cs="Times New Roman"/>
          <w:color w:val="auto"/>
          <w:sz w:val="32"/>
          <w:szCs w:val="32"/>
          <w:highlight w:val="none"/>
          <w:shd w:val="clear" w:color="auto" w:fill="auto"/>
          <w:lang w:val="en-US" w:eastAsia="zh-CN"/>
        </w:rPr>
        <w:t>（类）</w:t>
      </w:r>
      <w:r>
        <w:rPr>
          <w:rFonts w:hint="eastAsia" w:ascii="Times New Roman" w:hAnsi="Times New Roman" w:eastAsia="仿宋_GB2312" w:cs="Times New Roman"/>
          <w:color w:val="auto"/>
          <w:sz w:val="32"/>
          <w:szCs w:val="32"/>
          <w:highlight w:val="none"/>
          <w:shd w:val="clear" w:color="auto" w:fill="auto"/>
          <w:lang w:eastAsia="zh-CN"/>
        </w:rPr>
        <w:t>其他一般公共服务</w:t>
      </w:r>
      <w:r>
        <w:rPr>
          <w:rFonts w:hint="eastAsia" w:ascii="Times New Roman" w:hAnsi="Times New Roman" w:eastAsia="仿宋_GB2312" w:cs="Times New Roman"/>
          <w:color w:val="auto"/>
          <w:sz w:val="32"/>
          <w:szCs w:val="32"/>
          <w:highlight w:val="none"/>
          <w:shd w:val="clear" w:color="auto" w:fill="auto"/>
          <w:lang w:val="en-US" w:eastAsia="zh-CN"/>
        </w:rPr>
        <w:t>（款）</w:t>
      </w:r>
      <w:r>
        <w:rPr>
          <w:rFonts w:hint="eastAsia" w:ascii="Times New Roman" w:hAnsi="Times New Roman" w:eastAsia="仿宋_GB2312" w:cs="Times New Roman"/>
          <w:color w:val="auto"/>
          <w:sz w:val="32"/>
          <w:szCs w:val="32"/>
          <w:highlight w:val="none"/>
          <w:shd w:val="clear" w:color="auto" w:fill="auto"/>
          <w:lang w:eastAsia="zh-CN"/>
        </w:rPr>
        <w:t>其他一般公共服务</w:t>
      </w:r>
      <w:r>
        <w:rPr>
          <w:rFonts w:hint="eastAsia" w:ascii="Times New Roman" w:hAnsi="Times New Roman" w:eastAsia="仿宋_GB2312" w:cs="Times New Roman"/>
          <w:color w:val="auto"/>
          <w:sz w:val="32"/>
          <w:szCs w:val="32"/>
          <w:highlight w:val="none"/>
          <w:shd w:val="clear" w:color="auto" w:fill="auto"/>
          <w:lang w:val="en-US" w:eastAsia="zh-CN"/>
        </w:rPr>
        <w:t>（项）</w:t>
      </w:r>
      <w:r>
        <w:rPr>
          <w:rFonts w:ascii="Times New Roman" w:hAnsi="Times New Roman" w:eastAsia="仿宋_GB2312" w:cs="Times New Roman"/>
          <w:color w:val="auto"/>
          <w:sz w:val="32"/>
          <w:szCs w:val="32"/>
          <w:highlight w:val="none"/>
          <w:shd w:val="clear" w:color="auto" w:fill="auto"/>
        </w:rPr>
        <w:t>。</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highlight w:val="none"/>
          <w:shd w:val="clear" w:color="auto" w:fill="auto"/>
          <w:lang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shd w:val="clear" w:color="auto" w:fill="auto"/>
          <w:lang w:val="en-US" w:eastAsia="zh-CN"/>
        </w:rPr>
        <w:t>0</w:t>
      </w:r>
      <w:r>
        <w:rPr>
          <w:rFonts w:ascii="Times New Roman" w:hAnsi="Times New Roman" w:eastAsia="仿宋_GB2312" w:cs="Times New Roman"/>
          <w:color w:val="auto"/>
          <w:sz w:val="32"/>
          <w:szCs w:val="32"/>
          <w:highlight w:val="none"/>
          <w:shd w:val="clear" w:color="auto" w:fill="auto"/>
        </w:rPr>
        <w:t>万元，支出决算为</w:t>
      </w:r>
      <w:r>
        <w:rPr>
          <w:rFonts w:hint="eastAsia" w:ascii="Times New Roman" w:hAnsi="Times New Roman" w:eastAsia="仿宋_GB2312" w:cs="Times New Roman"/>
          <w:color w:val="auto"/>
          <w:sz w:val="32"/>
          <w:szCs w:val="32"/>
          <w:highlight w:val="none"/>
          <w:shd w:val="clear" w:color="auto" w:fill="auto"/>
          <w:lang w:val="en-US" w:eastAsia="zh-CN"/>
        </w:rPr>
        <w:t>1.8</w:t>
      </w:r>
      <w:r>
        <w:rPr>
          <w:rFonts w:ascii="Times New Roman" w:hAnsi="Times New Roman" w:eastAsia="仿宋_GB2312" w:cs="Times New Roman"/>
          <w:color w:val="auto"/>
          <w:sz w:val="32"/>
          <w:szCs w:val="32"/>
          <w:highlight w:val="none"/>
          <w:shd w:val="clear" w:color="auto" w:fill="auto"/>
        </w:rPr>
        <w:t>万元，完成年初预算的</w:t>
      </w:r>
      <w:r>
        <w:rPr>
          <w:rFonts w:hint="eastAsia" w:ascii="Times New Roman" w:hAnsi="Times New Roman" w:eastAsia="仿宋_GB2312" w:cs="Times New Roman"/>
          <w:color w:val="auto"/>
          <w:sz w:val="32"/>
          <w:szCs w:val="32"/>
          <w:highlight w:val="none"/>
          <w:shd w:val="clear" w:color="auto" w:fill="auto"/>
          <w:lang w:val="en-US" w:eastAsia="zh-CN"/>
        </w:rPr>
        <w:t>100</w:t>
      </w:r>
      <w:r>
        <w:rPr>
          <w:rFonts w:ascii="Times New Roman" w:hAnsi="Times New Roman" w:eastAsia="仿宋_GB2312" w:cs="Times New Roman"/>
          <w:color w:val="auto"/>
          <w:sz w:val="32"/>
          <w:szCs w:val="32"/>
          <w:highlight w:val="none"/>
          <w:shd w:val="clear" w:color="auto" w:fill="auto"/>
        </w:rPr>
        <w:t>%，决算数</w:t>
      </w:r>
      <w:r>
        <w:rPr>
          <w:rFonts w:hint="eastAsia" w:ascii="Times New Roman" w:hAnsi="Times New Roman" w:eastAsia="仿宋_GB2312" w:cs="Times New Roman"/>
          <w:color w:val="auto"/>
          <w:sz w:val="32"/>
          <w:szCs w:val="32"/>
          <w:highlight w:val="none"/>
          <w:shd w:val="clear" w:color="auto" w:fill="auto"/>
          <w:lang w:eastAsia="zh-CN"/>
        </w:rPr>
        <w:t>大</w:t>
      </w:r>
      <w:r>
        <w:rPr>
          <w:rFonts w:ascii="Times New Roman" w:hAnsi="Times New Roman" w:eastAsia="仿宋_GB2312" w:cs="Times New Roman"/>
          <w:color w:val="auto"/>
          <w:sz w:val="32"/>
          <w:szCs w:val="32"/>
          <w:highlight w:val="none"/>
          <w:shd w:val="clear" w:color="auto" w:fill="auto"/>
        </w:rPr>
        <w:t>于年初预算数的主要原因是：</w:t>
      </w:r>
      <w:r>
        <w:rPr>
          <w:rFonts w:hint="eastAsia" w:ascii="Times New Roman" w:hAnsi="Times New Roman" w:eastAsia="仿宋_GB2312" w:cs="Times New Roman"/>
          <w:color w:val="auto"/>
          <w:sz w:val="32"/>
          <w:szCs w:val="32"/>
          <w:highlight w:val="none"/>
          <w:shd w:val="clear" w:color="auto" w:fill="auto"/>
          <w:lang w:eastAsia="zh-CN"/>
        </w:rPr>
        <w:t>年初未做一般公共服务预算</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highlight w:val="none"/>
          <w:shd w:val="clear" w:color="auto" w:fill="auto"/>
        </w:rPr>
      </w:pPr>
      <w:r>
        <w:rPr>
          <w:rFonts w:ascii="Times New Roman" w:hAnsi="Times New Roman" w:eastAsia="仿宋_GB2312" w:cs="Times New Roman"/>
          <w:color w:val="auto"/>
          <w:sz w:val="32"/>
          <w:szCs w:val="32"/>
          <w:highlight w:val="none"/>
          <w:shd w:val="clear" w:color="auto" w:fill="auto"/>
        </w:rPr>
        <w:t>2、</w:t>
      </w:r>
      <w:r>
        <w:rPr>
          <w:rFonts w:hint="eastAsia" w:ascii="Times New Roman" w:hAnsi="Times New Roman" w:eastAsia="仿宋_GB2312" w:cs="Times New Roman"/>
          <w:color w:val="auto"/>
          <w:sz w:val="32"/>
          <w:szCs w:val="32"/>
          <w:highlight w:val="none"/>
          <w:shd w:val="clear" w:color="auto" w:fill="auto"/>
          <w:lang w:eastAsia="zh-CN"/>
        </w:rPr>
        <w:t>文化旅游体育与传媒</w:t>
      </w:r>
      <w:r>
        <w:rPr>
          <w:rFonts w:hint="eastAsia" w:ascii="Times New Roman" w:hAnsi="Times New Roman" w:eastAsia="仿宋_GB2312" w:cs="Times New Roman"/>
          <w:color w:val="auto"/>
          <w:sz w:val="32"/>
          <w:szCs w:val="32"/>
          <w:highlight w:val="none"/>
          <w:shd w:val="clear" w:color="auto" w:fill="auto"/>
          <w:lang w:val="en-US" w:eastAsia="zh-CN"/>
        </w:rPr>
        <w:t>（类）</w:t>
      </w:r>
      <w:r>
        <w:rPr>
          <w:rFonts w:hint="eastAsia" w:ascii="Times New Roman" w:hAnsi="Times New Roman" w:eastAsia="仿宋_GB2312" w:cs="Times New Roman"/>
          <w:color w:val="auto"/>
          <w:sz w:val="32"/>
          <w:szCs w:val="32"/>
          <w:highlight w:val="none"/>
          <w:shd w:val="clear" w:color="auto" w:fill="auto"/>
          <w:lang w:eastAsia="zh-CN"/>
        </w:rPr>
        <w:t>文化和旅游</w:t>
      </w:r>
      <w:r>
        <w:rPr>
          <w:rFonts w:hint="eastAsia" w:ascii="Times New Roman" w:hAnsi="Times New Roman" w:eastAsia="仿宋_GB2312" w:cs="Times New Roman"/>
          <w:color w:val="auto"/>
          <w:sz w:val="32"/>
          <w:szCs w:val="32"/>
          <w:highlight w:val="none"/>
          <w:shd w:val="clear" w:color="auto" w:fill="auto"/>
          <w:lang w:val="en-US" w:eastAsia="zh-CN"/>
        </w:rPr>
        <w:t>（款）</w:t>
      </w:r>
      <w:r>
        <w:rPr>
          <w:rFonts w:hint="eastAsia" w:ascii="Times New Roman" w:hAnsi="Times New Roman" w:eastAsia="仿宋_GB2312" w:cs="Times New Roman"/>
          <w:color w:val="auto"/>
          <w:sz w:val="32"/>
          <w:szCs w:val="32"/>
          <w:highlight w:val="none"/>
          <w:shd w:val="clear" w:color="auto" w:fill="auto"/>
          <w:lang w:eastAsia="zh-CN"/>
        </w:rPr>
        <w:t>文化活动</w:t>
      </w:r>
      <w:r>
        <w:rPr>
          <w:rFonts w:hint="eastAsia" w:ascii="Times New Roman" w:hAnsi="Times New Roman" w:eastAsia="仿宋_GB2312" w:cs="Times New Roman"/>
          <w:color w:val="auto"/>
          <w:sz w:val="32"/>
          <w:szCs w:val="32"/>
          <w:highlight w:val="none"/>
          <w:shd w:val="clear" w:color="auto" w:fill="auto"/>
          <w:lang w:val="en-US" w:eastAsia="zh-CN"/>
        </w:rPr>
        <w:t>（项）</w:t>
      </w:r>
      <w:r>
        <w:rPr>
          <w:rFonts w:ascii="Times New Roman" w:hAnsi="Times New Roman" w:eastAsia="仿宋_GB2312" w:cs="Times New Roman"/>
          <w:color w:val="auto"/>
          <w:sz w:val="32"/>
          <w:szCs w:val="32"/>
          <w:highlight w:val="none"/>
          <w:shd w:val="clear" w:color="auto" w:fill="auto"/>
        </w:rPr>
        <w:t>。</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highlight w:val="none"/>
          <w:shd w:val="clear" w:color="auto" w:fill="auto"/>
          <w:lang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shd w:val="clear" w:color="auto" w:fill="auto"/>
          <w:lang w:val="en-US" w:eastAsia="zh-CN"/>
        </w:rPr>
        <w:t>0</w:t>
      </w:r>
      <w:r>
        <w:rPr>
          <w:rFonts w:ascii="Times New Roman" w:hAnsi="Times New Roman" w:eastAsia="仿宋_GB2312" w:cs="Times New Roman"/>
          <w:color w:val="auto"/>
          <w:sz w:val="32"/>
          <w:szCs w:val="32"/>
          <w:highlight w:val="none"/>
          <w:shd w:val="clear" w:color="auto" w:fill="auto"/>
        </w:rPr>
        <w:t>万元，支出决算为</w:t>
      </w:r>
      <w:r>
        <w:rPr>
          <w:rFonts w:hint="eastAsia" w:ascii="Times New Roman" w:hAnsi="Times New Roman" w:eastAsia="仿宋_GB2312" w:cs="Times New Roman"/>
          <w:color w:val="auto"/>
          <w:sz w:val="32"/>
          <w:szCs w:val="32"/>
          <w:highlight w:val="none"/>
          <w:shd w:val="clear" w:color="auto" w:fill="auto"/>
          <w:lang w:val="en-US" w:eastAsia="zh-CN"/>
        </w:rPr>
        <w:t>0.59</w:t>
      </w:r>
      <w:r>
        <w:rPr>
          <w:rFonts w:ascii="Times New Roman" w:hAnsi="Times New Roman" w:eastAsia="仿宋_GB2312" w:cs="Times New Roman"/>
          <w:color w:val="auto"/>
          <w:sz w:val="32"/>
          <w:szCs w:val="32"/>
          <w:highlight w:val="none"/>
          <w:shd w:val="clear" w:color="auto" w:fill="auto"/>
        </w:rPr>
        <w:t>万元，完成年初预算的</w:t>
      </w:r>
      <w:r>
        <w:rPr>
          <w:rFonts w:hint="eastAsia" w:ascii="Times New Roman" w:hAnsi="Times New Roman" w:eastAsia="仿宋_GB2312" w:cs="Times New Roman"/>
          <w:color w:val="auto"/>
          <w:sz w:val="32"/>
          <w:szCs w:val="32"/>
          <w:highlight w:val="none"/>
          <w:shd w:val="clear" w:color="auto" w:fill="auto"/>
          <w:lang w:val="en-US" w:eastAsia="zh-CN"/>
        </w:rPr>
        <w:t>100</w:t>
      </w:r>
      <w:r>
        <w:rPr>
          <w:rFonts w:ascii="Times New Roman" w:hAnsi="Times New Roman" w:eastAsia="仿宋_GB2312" w:cs="Times New Roman"/>
          <w:color w:val="auto"/>
          <w:sz w:val="32"/>
          <w:szCs w:val="32"/>
          <w:highlight w:val="none"/>
          <w:shd w:val="clear" w:color="auto" w:fill="auto"/>
        </w:rPr>
        <w:t>%，决算数大于年初预算数的主要原因是：</w:t>
      </w:r>
      <w:r>
        <w:rPr>
          <w:rFonts w:hint="eastAsia" w:ascii="Times New Roman" w:hAnsi="Times New Roman" w:eastAsia="仿宋_GB2312" w:cs="Times New Roman"/>
          <w:color w:val="auto"/>
          <w:sz w:val="32"/>
          <w:szCs w:val="32"/>
          <w:highlight w:val="none"/>
          <w:shd w:val="clear" w:color="auto" w:fill="auto"/>
          <w:lang w:eastAsia="zh-CN"/>
        </w:rPr>
        <w:t>年初未做预算。</w:t>
      </w:r>
    </w:p>
    <w:p>
      <w:pPr>
        <w:pStyle w:val="15"/>
        <w:numPr>
          <w:ilvl w:val="0"/>
          <w:numId w:val="1"/>
        </w:numPr>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社会保障和就业（类）民政管理事务（款）行政运行（项）。</w:t>
      </w:r>
    </w:p>
    <w:p>
      <w:pPr>
        <w:pStyle w:val="15"/>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shd w:val="clear" w:color="auto" w:fill="auto"/>
          <w:lang w:val="en-US" w:eastAsia="zh-CN"/>
        </w:rPr>
        <w:t>678.81</w:t>
      </w:r>
      <w:r>
        <w:rPr>
          <w:rFonts w:ascii="Times New Roman" w:hAnsi="Times New Roman" w:eastAsia="仿宋_GB2312" w:cs="Times New Roman"/>
          <w:color w:val="auto"/>
          <w:sz w:val="32"/>
          <w:szCs w:val="32"/>
          <w:highlight w:val="none"/>
          <w:u w:val="none"/>
          <w:shd w:val="clear" w:color="auto" w:fill="auto"/>
        </w:rPr>
        <w:t>万元，支出决算为</w:t>
      </w:r>
      <w:r>
        <w:rPr>
          <w:rFonts w:hint="eastAsia" w:ascii="Times New Roman" w:hAnsi="Times New Roman" w:eastAsia="仿宋_GB2312" w:cs="Times New Roman"/>
          <w:color w:val="auto"/>
          <w:sz w:val="32"/>
          <w:szCs w:val="32"/>
          <w:highlight w:val="none"/>
          <w:shd w:val="clear" w:color="auto" w:fill="auto"/>
          <w:lang w:val="en-US" w:eastAsia="zh-CN"/>
        </w:rPr>
        <w:t>845.98</w:t>
      </w:r>
      <w:r>
        <w:rPr>
          <w:rFonts w:ascii="Times New Roman" w:hAnsi="Times New Roman" w:eastAsia="仿宋_GB2312" w:cs="Times New Roman"/>
          <w:color w:val="auto"/>
          <w:sz w:val="32"/>
          <w:szCs w:val="32"/>
          <w:highlight w:val="none"/>
          <w:u w:val="none"/>
          <w:shd w:val="clear" w:color="auto" w:fill="auto"/>
        </w:rPr>
        <w:t>万元，完成年初预算的</w:t>
      </w:r>
      <w:r>
        <w:rPr>
          <w:rFonts w:hint="eastAsia" w:ascii="Times New Roman" w:hAnsi="Times New Roman" w:eastAsia="仿宋_GB2312" w:cs="Times New Roman"/>
          <w:color w:val="auto"/>
          <w:sz w:val="32"/>
          <w:szCs w:val="32"/>
          <w:highlight w:val="none"/>
          <w:u w:val="none"/>
          <w:shd w:val="clear" w:color="auto" w:fill="auto"/>
          <w:lang w:val="en-US" w:eastAsia="zh-CN"/>
        </w:rPr>
        <w:t>124.63</w:t>
      </w:r>
      <w:r>
        <w:rPr>
          <w:rFonts w:ascii="Times New Roman" w:hAnsi="Times New Roman" w:eastAsia="仿宋_GB2312" w:cs="Times New Roman"/>
          <w:color w:val="auto"/>
          <w:sz w:val="32"/>
          <w:szCs w:val="32"/>
          <w:highlight w:val="none"/>
          <w:u w:val="none"/>
          <w:shd w:val="clear" w:color="auto" w:fill="auto"/>
        </w:rPr>
        <w:t>%，决算数</w:t>
      </w:r>
      <w:r>
        <w:rPr>
          <w:rFonts w:hint="eastAsia" w:ascii="Times New Roman" w:hAnsi="Times New Roman" w:eastAsia="仿宋_GB2312" w:cs="Times New Roman"/>
          <w:color w:val="auto"/>
          <w:sz w:val="32"/>
          <w:szCs w:val="32"/>
          <w:highlight w:val="none"/>
          <w:u w:val="none"/>
          <w:shd w:val="clear" w:color="auto" w:fill="auto"/>
          <w:lang w:eastAsia="zh-CN"/>
        </w:rPr>
        <w:t>大于</w:t>
      </w:r>
      <w:r>
        <w:rPr>
          <w:rFonts w:ascii="Times New Roman" w:hAnsi="Times New Roman" w:eastAsia="仿宋_GB2312" w:cs="Times New Roman"/>
          <w:color w:val="auto"/>
          <w:sz w:val="32"/>
          <w:szCs w:val="32"/>
          <w:highlight w:val="none"/>
          <w:u w:val="none"/>
          <w:shd w:val="clear" w:color="auto" w:fill="auto"/>
        </w:rPr>
        <w:t>年初预算数的主要原因是</w:t>
      </w:r>
      <w:r>
        <w:rPr>
          <w:rFonts w:hint="eastAsia" w:ascii="Times New Roman" w:hAnsi="Times New Roman" w:eastAsia="仿宋_GB2312" w:cs="Times New Roman"/>
          <w:color w:val="auto"/>
          <w:sz w:val="32"/>
          <w:szCs w:val="32"/>
          <w:highlight w:val="none"/>
          <w:u w:val="none"/>
          <w:shd w:val="clear" w:color="auto" w:fill="auto"/>
          <w:lang w:eastAsia="zh-CN"/>
        </w:rPr>
        <w:t>：</w:t>
      </w:r>
    </w:p>
    <w:p>
      <w:pPr>
        <w:pStyle w:val="15"/>
        <w:numPr>
          <w:ilvl w:val="0"/>
          <w:numId w:val="1"/>
        </w:numPr>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社会保障和就业（类）民政管理事务（款）其他民政管理事务支出（项）。</w:t>
      </w:r>
    </w:p>
    <w:p>
      <w:pPr>
        <w:pStyle w:val="15"/>
        <w:spacing w:line="600" w:lineRule="exact"/>
        <w:ind w:firstLine="640" w:firstLineChars="200"/>
        <w:rPr>
          <w:rFonts w:hint="eastAsia" w:ascii="Times New Roman" w:hAnsi="Times New Roman" w:eastAsia="仿宋_GB2312" w:cs="Times New Roman"/>
          <w:color w:val="auto"/>
          <w:sz w:val="32"/>
          <w:szCs w:val="32"/>
          <w:highlight w:val="none"/>
          <w:u w:val="none"/>
          <w:shd w:val="clear" w:color="auto" w:fill="auto"/>
          <w:lang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shd w:val="clear" w:color="auto" w:fill="auto"/>
          <w:lang w:val="en-US" w:eastAsia="zh-CN"/>
        </w:rPr>
        <w:t>20</w:t>
      </w:r>
      <w:r>
        <w:rPr>
          <w:rFonts w:ascii="Times New Roman" w:hAnsi="Times New Roman" w:eastAsia="仿宋_GB2312" w:cs="Times New Roman"/>
          <w:color w:val="auto"/>
          <w:sz w:val="32"/>
          <w:szCs w:val="32"/>
          <w:highlight w:val="none"/>
          <w:shd w:val="clear" w:color="auto" w:fill="auto"/>
        </w:rPr>
        <w:t>万元，支出决算为</w:t>
      </w:r>
      <w:r>
        <w:rPr>
          <w:rFonts w:hint="eastAsia" w:ascii="Times New Roman" w:hAnsi="Times New Roman" w:eastAsia="仿宋_GB2312" w:cs="Times New Roman"/>
          <w:color w:val="auto"/>
          <w:sz w:val="32"/>
          <w:szCs w:val="32"/>
          <w:highlight w:val="none"/>
          <w:u w:val="none"/>
          <w:shd w:val="clear" w:color="auto" w:fill="auto"/>
          <w:lang w:val="en-US" w:eastAsia="zh-CN"/>
        </w:rPr>
        <w:t>193.54</w:t>
      </w:r>
      <w:r>
        <w:rPr>
          <w:rFonts w:ascii="Times New Roman" w:hAnsi="Times New Roman" w:eastAsia="仿宋_GB2312" w:cs="Times New Roman"/>
          <w:color w:val="auto"/>
          <w:sz w:val="32"/>
          <w:szCs w:val="32"/>
          <w:highlight w:val="none"/>
          <w:u w:val="none"/>
          <w:shd w:val="clear" w:color="auto" w:fill="auto"/>
        </w:rPr>
        <w:t>万元，</w:t>
      </w:r>
      <w:r>
        <w:rPr>
          <w:rFonts w:hint="eastAsia" w:ascii="Times New Roman" w:hAnsi="Times New Roman" w:eastAsia="仿宋_GB2312" w:cs="Times New Roman"/>
          <w:color w:val="auto"/>
          <w:sz w:val="32"/>
          <w:szCs w:val="32"/>
          <w:highlight w:val="none"/>
          <w:u w:val="none"/>
          <w:shd w:val="clear" w:color="auto" w:fill="auto"/>
          <w:lang w:val="en-US" w:eastAsia="zh-CN"/>
        </w:rPr>
        <w:t>因年初预算数为967.7%，</w:t>
      </w:r>
      <w:r>
        <w:rPr>
          <w:rFonts w:ascii="Times New Roman" w:hAnsi="Times New Roman" w:eastAsia="仿宋_GB2312" w:cs="Times New Roman"/>
          <w:color w:val="auto"/>
          <w:sz w:val="32"/>
          <w:szCs w:val="32"/>
          <w:highlight w:val="none"/>
          <w:u w:val="none"/>
          <w:shd w:val="clear" w:color="auto" w:fill="auto"/>
        </w:rPr>
        <w:t>决算数大于年初预算数的主要原因是：</w:t>
      </w:r>
      <w:r>
        <w:rPr>
          <w:rFonts w:hint="eastAsia" w:ascii="Times New Roman" w:hAnsi="Times New Roman" w:eastAsia="仿宋_GB2312" w:cs="Times New Roman"/>
          <w:color w:val="auto"/>
          <w:sz w:val="32"/>
          <w:szCs w:val="32"/>
          <w:highlight w:val="none"/>
          <w:u w:val="none"/>
          <w:shd w:val="clear" w:color="auto" w:fill="auto"/>
          <w:lang w:eastAsia="zh-CN"/>
        </w:rPr>
        <w:t>年初做预算时只将</w:t>
      </w:r>
      <w:r>
        <w:rPr>
          <w:rFonts w:hint="eastAsia" w:ascii="Times New Roman" w:hAnsi="Times New Roman" w:eastAsia="仿宋_GB2312" w:cs="Times New Roman"/>
          <w:color w:val="auto"/>
          <w:sz w:val="32"/>
          <w:szCs w:val="32"/>
          <w:highlight w:val="none"/>
          <w:u w:val="none"/>
          <w:shd w:val="clear" w:color="auto" w:fill="auto"/>
          <w:lang w:val="en-US" w:eastAsia="zh-CN"/>
        </w:rPr>
        <w:t>20万社会救助工作经费列入了</w:t>
      </w:r>
      <w:r>
        <w:rPr>
          <w:rFonts w:hint="eastAsia" w:ascii="Times New Roman" w:hAnsi="Times New Roman" w:eastAsia="仿宋_GB2312" w:cs="Times New Roman"/>
          <w:color w:val="auto"/>
          <w:sz w:val="32"/>
          <w:szCs w:val="32"/>
          <w:highlight w:val="none"/>
          <w:shd w:val="clear" w:color="auto" w:fill="auto"/>
          <w:lang w:val="en-US" w:eastAsia="zh-CN"/>
        </w:rPr>
        <w:t>其他民政管理事务支出</w:t>
      </w:r>
      <w:r>
        <w:rPr>
          <w:rFonts w:hint="eastAsia" w:ascii="Times New Roman" w:hAnsi="Times New Roman" w:eastAsia="仿宋_GB2312" w:cs="Times New Roman"/>
          <w:color w:val="auto"/>
          <w:sz w:val="32"/>
          <w:szCs w:val="32"/>
          <w:highlight w:val="none"/>
          <w:u w:val="none"/>
          <w:shd w:val="clear" w:color="auto" w:fill="auto"/>
          <w:lang w:eastAsia="zh-CN"/>
        </w:rPr>
        <w:t>。</w:t>
      </w:r>
    </w:p>
    <w:p>
      <w:pPr>
        <w:pStyle w:val="15"/>
        <w:numPr>
          <w:ilvl w:val="0"/>
          <w:numId w:val="1"/>
        </w:numPr>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社会保障和就业（类）行政事业单位养老支出（款）机关事业单位基本养老保险缴费支出（项）。</w:t>
      </w:r>
    </w:p>
    <w:p>
      <w:pPr>
        <w:pStyle w:val="15"/>
        <w:spacing w:line="600" w:lineRule="exact"/>
        <w:ind w:firstLine="640" w:firstLineChars="200"/>
        <w:rPr>
          <w:rFonts w:hint="eastAsia" w:ascii="Times New Roman" w:hAnsi="Times New Roman" w:eastAsia="仿宋_GB2312" w:cs="Times New Roman"/>
          <w:color w:val="auto"/>
          <w:sz w:val="32"/>
          <w:szCs w:val="32"/>
          <w:highlight w:val="none"/>
          <w:u w:val="none"/>
          <w:shd w:val="clear" w:color="auto" w:fill="auto"/>
          <w:lang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u w:val="none"/>
          <w:shd w:val="clear" w:color="auto" w:fill="auto"/>
          <w:lang w:val="en-US" w:eastAsia="zh-CN"/>
        </w:rPr>
        <w:t>70.39</w:t>
      </w:r>
      <w:r>
        <w:rPr>
          <w:rFonts w:ascii="Times New Roman" w:hAnsi="Times New Roman" w:eastAsia="仿宋_GB2312" w:cs="Times New Roman"/>
          <w:color w:val="auto"/>
          <w:sz w:val="32"/>
          <w:szCs w:val="32"/>
          <w:highlight w:val="none"/>
          <w:u w:val="none"/>
          <w:shd w:val="clear" w:color="auto" w:fill="auto"/>
        </w:rPr>
        <w:t>万元，支出决算为</w:t>
      </w:r>
      <w:r>
        <w:rPr>
          <w:rFonts w:hint="eastAsia" w:ascii="Times New Roman" w:hAnsi="Times New Roman" w:eastAsia="仿宋_GB2312" w:cs="Times New Roman"/>
          <w:color w:val="auto"/>
          <w:sz w:val="32"/>
          <w:szCs w:val="32"/>
          <w:highlight w:val="none"/>
          <w:u w:val="none"/>
          <w:shd w:val="clear" w:color="auto" w:fill="auto"/>
          <w:lang w:val="en-US" w:eastAsia="zh-CN"/>
        </w:rPr>
        <w:t>95</w:t>
      </w:r>
      <w:r>
        <w:rPr>
          <w:rFonts w:ascii="Times New Roman" w:hAnsi="Times New Roman" w:eastAsia="仿宋_GB2312" w:cs="Times New Roman"/>
          <w:color w:val="auto"/>
          <w:sz w:val="32"/>
          <w:szCs w:val="32"/>
          <w:highlight w:val="none"/>
          <w:u w:val="none"/>
          <w:shd w:val="clear" w:color="auto" w:fill="auto"/>
        </w:rPr>
        <w:t>万元，</w:t>
      </w:r>
      <w:r>
        <w:rPr>
          <w:rFonts w:hint="eastAsia" w:ascii="Times New Roman" w:hAnsi="Times New Roman" w:eastAsia="仿宋_GB2312" w:cs="Times New Roman"/>
          <w:color w:val="auto"/>
          <w:sz w:val="32"/>
          <w:szCs w:val="32"/>
          <w:highlight w:val="none"/>
          <w:u w:val="none"/>
          <w:shd w:val="clear" w:color="auto" w:fill="auto"/>
          <w:lang w:val="en-US" w:eastAsia="zh-CN"/>
        </w:rPr>
        <w:t>因年初预算数为139.96%，</w:t>
      </w:r>
      <w:r>
        <w:rPr>
          <w:rFonts w:ascii="Times New Roman" w:hAnsi="Times New Roman" w:eastAsia="仿宋_GB2312" w:cs="Times New Roman"/>
          <w:color w:val="auto"/>
          <w:sz w:val="32"/>
          <w:szCs w:val="32"/>
          <w:highlight w:val="none"/>
          <w:u w:val="none"/>
          <w:shd w:val="clear" w:color="auto" w:fill="auto"/>
        </w:rPr>
        <w:t>决算数</w:t>
      </w:r>
      <w:r>
        <w:rPr>
          <w:rFonts w:hint="eastAsia" w:ascii="Times New Roman" w:hAnsi="Times New Roman" w:eastAsia="仿宋_GB2312" w:cs="Times New Roman"/>
          <w:color w:val="auto"/>
          <w:sz w:val="32"/>
          <w:szCs w:val="32"/>
          <w:highlight w:val="none"/>
          <w:u w:val="none"/>
          <w:shd w:val="clear" w:color="auto" w:fill="auto"/>
          <w:lang w:eastAsia="zh-CN"/>
        </w:rPr>
        <w:t>大</w:t>
      </w:r>
      <w:r>
        <w:rPr>
          <w:rFonts w:ascii="Times New Roman" w:hAnsi="Times New Roman" w:eastAsia="仿宋_GB2312" w:cs="Times New Roman"/>
          <w:color w:val="auto"/>
          <w:sz w:val="32"/>
          <w:szCs w:val="32"/>
          <w:highlight w:val="none"/>
          <w:u w:val="none"/>
          <w:shd w:val="clear" w:color="auto" w:fill="auto"/>
        </w:rPr>
        <w:t>于年初预算数的主要原因是：</w:t>
      </w:r>
      <w:r>
        <w:rPr>
          <w:rFonts w:hint="eastAsia" w:ascii="Times New Roman" w:hAnsi="Times New Roman" w:eastAsia="仿宋_GB2312" w:cs="Times New Roman"/>
          <w:color w:val="auto"/>
          <w:sz w:val="32"/>
          <w:szCs w:val="32"/>
          <w:highlight w:val="none"/>
          <w:u w:val="none"/>
          <w:shd w:val="clear" w:color="auto" w:fill="auto"/>
          <w:lang w:eastAsia="zh-CN"/>
        </w:rPr>
        <w:t>工资福利增加，养老保险缴费基数增加。</w:t>
      </w:r>
    </w:p>
    <w:p>
      <w:pPr>
        <w:pStyle w:val="15"/>
        <w:numPr>
          <w:ilvl w:val="0"/>
          <w:numId w:val="1"/>
        </w:numPr>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社会保障和就业（类）抚恤（款）死亡抚恤（项）。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highlight w:val="none"/>
          <w:u w:val="none"/>
          <w:shd w:val="clear" w:color="auto" w:fill="auto"/>
          <w:lang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u w:val="none"/>
          <w:shd w:val="clear" w:color="auto" w:fill="auto"/>
          <w:lang w:val="en-US" w:eastAsia="zh-CN"/>
        </w:rPr>
        <w:t>0</w:t>
      </w:r>
      <w:r>
        <w:rPr>
          <w:rFonts w:ascii="Times New Roman" w:hAnsi="Times New Roman" w:eastAsia="仿宋_GB2312" w:cs="Times New Roman"/>
          <w:color w:val="auto"/>
          <w:sz w:val="32"/>
          <w:szCs w:val="32"/>
          <w:highlight w:val="none"/>
          <w:u w:val="none"/>
          <w:shd w:val="clear" w:color="auto" w:fill="auto"/>
        </w:rPr>
        <w:t>万元，支出决算为</w:t>
      </w:r>
      <w:r>
        <w:rPr>
          <w:rFonts w:hint="eastAsia" w:ascii="Times New Roman" w:hAnsi="Times New Roman" w:eastAsia="仿宋_GB2312" w:cs="Times New Roman"/>
          <w:color w:val="auto"/>
          <w:sz w:val="32"/>
          <w:szCs w:val="32"/>
          <w:highlight w:val="none"/>
          <w:u w:val="none"/>
          <w:shd w:val="clear" w:color="auto" w:fill="auto"/>
          <w:lang w:val="en-US" w:eastAsia="zh-CN"/>
        </w:rPr>
        <w:t>3.07</w:t>
      </w:r>
      <w:r>
        <w:rPr>
          <w:rFonts w:ascii="Times New Roman" w:hAnsi="Times New Roman" w:eastAsia="仿宋_GB2312" w:cs="Times New Roman"/>
          <w:color w:val="auto"/>
          <w:sz w:val="32"/>
          <w:szCs w:val="32"/>
          <w:highlight w:val="none"/>
          <w:u w:val="none"/>
          <w:shd w:val="clear" w:color="auto" w:fill="auto"/>
        </w:rPr>
        <w:t>万元，</w:t>
      </w:r>
      <w:r>
        <w:rPr>
          <w:rFonts w:hint="eastAsia" w:ascii="Times New Roman" w:hAnsi="Times New Roman" w:eastAsia="仿宋_GB2312" w:cs="Times New Roman"/>
          <w:color w:val="auto"/>
          <w:sz w:val="32"/>
          <w:szCs w:val="32"/>
          <w:highlight w:val="none"/>
          <w:u w:val="none"/>
          <w:shd w:val="clear" w:color="auto" w:fill="auto"/>
          <w:lang w:val="en-US" w:eastAsia="zh-CN"/>
        </w:rPr>
        <w:t>因年初预算数为0，无法计算百分比</w:t>
      </w:r>
      <w:r>
        <w:rPr>
          <w:rFonts w:ascii="Times New Roman" w:hAnsi="Times New Roman" w:eastAsia="仿宋_GB2312" w:cs="Times New Roman"/>
          <w:color w:val="auto"/>
          <w:sz w:val="32"/>
          <w:szCs w:val="32"/>
          <w:highlight w:val="none"/>
          <w:u w:val="none"/>
          <w:shd w:val="clear" w:color="auto" w:fill="auto"/>
        </w:rPr>
        <w:t>，决算数大于年初预算数的主要原因是：</w:t>
      </w:r>
      <w:r>
        <w:rPr>
          <w:rFonts w:hint="eastAsia" w:ascii="Times New Roman" w:hAnsi="Times New Roman" w:eastAsia="仿宋_GB2312" w:cs="Times New Roman"/>
          <w:color w:val="auto"/>
          <w:sz w:val="32"/>
          <w:szCs w:val="32"/>
          <w:highlight w:val="none"/>
          <w:u w:val="none"/>
          <w:shd w:val="clear" w:color="auto" w:fill="auto"/>
          <w:lang w:eastAsia="zh-CN"/>
        </w:rPr>
        <w:t>年初未做死亡抚恤预算。</w:t>
      </w:r>
    </w:p>
    <w:p>
      <w:pPr>
        <w:pStyle w:val="15"/>
        <w:numPr>
          <w:ilvl w:val="0"/>
          <w:numId w:val="1"/>
        </w:numPr>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社会保障和就业（类）社会福利（款）儿童福利（项）。</w:t>
      </w:r>
    </w:p>
    <w:p>
      <w:pPr>
        <w:pStyle w:val="15"/>
        <w:widowControl w:val="0"/>
        <w:numPr>
          <w:ilvl w:val="0"/>
          <w:numId w:val="0"/>
        </w:numPr>
        <w:overflowPunct w:val="0"/>
        <w:autoSpaceDE/>
        <w:autoSpaceDN/>
        <w:adjustRightInd w:val="0"/>
        <w:spacing w:line="600" w:lineRule="exact"/>
        <w:ind w:firstLine="640" w:firstLineChars="200"/>
        <w:jc w:val="both"/>
        <w:rPr>
          <w:rFonts w:hint="default" w:ascii="Times New Roman" w:hAnsi="Times New Roman" w:eastAsia="仿宋_GB2312" w:cs="Times New Roman"/>
          <w:color w:val="auto"/>
          <w:sz w:val="32"/>
          <w:szCs w:val="32"/>
          <w:highlight w:val="none"/>
          <w:shd w:val="clear" w:color="auto" w:fill="auto"/>
          <w:lang w:val="en-US"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u w:val="none"/>
          <w:shd w:val="clear" w:color="auto" w:fill="auto"/>
          <w:lang w:val="en-US" w:eastAsia="zh-CN"/>
        </w:rPr>
        <w:t>464.7</w:t>
      </w:r>
      <w:r>
        <w:rPr>
          <w:rFonts w:ascii="Times New Roman" w:hAnsi="Times New Roman" w:eastAsia="仿宋_GB2312" w:cs="Times New Roman"/>
          <w:color w:val="auto"/>
          <w:sz w:val="32"/>
          <w:szCs w:val="32"/>
          <w:highlight w:val="none"/>
          <w:u w:val="none"/>
          <w:shd w:val="clear" w:color="auto" w:fill="auto"/>
        </w:rPr>
        <w:t>万元，支出决算为</w:t>
      </w:r>
      <w:r>
        <w:rPr>
          <w:rFonts w:hint="eastAsia" w:ascii="Times New Roman" w:hAnsi="Times New Roman" w:eastAsia="仿宋_GB2312" w:cs="Times New Roman"/>
          <w:color w:val="auto"/>
          <w:sz w:val="32"/>
          <w:szCs w:val="32"/>
          <w:highlight w:val="none"/>
          <w:u w:val="none"/>
          <w:shd w:val="clear" w:color="auto" w:fill="auto"/>
          <w:lang w:val="en-US" w:eastAsia="zh-CN"/>
        </w:rPr>
        <w:t>279.88</w:t>
      </w:r>
      <w:r>
        <w:rPr>
          <w:rFonts w:ascii="Times New Roman" w:hAnsi="Times New Roman" w:eastAsia="仿宋_GB2312" w:cs="Times New Roman"/>
          <w:color w:val="auto"/>
          <w:sz w:val="32"/>
          <w:szCs w:val="32"/>
          <w:highlight w:val="none"/>
          <w:u w:val="none"/>
          <w:shd w:val="clear" w:color="auto" w:fill="auto"/>
        </w:rPr>
        <w:t>万元，</w:t>
      </w:r>
      <w:r>
        <w:rPr>
          <w:rFonts w:ascii="Times New Roman" w:hAnsi="Times New Roman" w:eastAsia="仿宋_GB2312" w:cs="Times New Roman"/>
          <w:color w:val="auto"/>
          <w:sz w:val="32"/>
          <w:szCs w:val="32"/>
          <w:highlight w:val="none"/>
          <w:shd w:val="clear" w:color="auto" w:fill="auto"/>
        </w:rPr>
        <w:t>完成年初预算的</w:t>
      </w:r>
      <w:r>
        <w:rPr>
          <w:rFonts w:hint="eastAsia" w:ascii="Times New Roman" w:hAnsi="Times New Roman" w:eastAsia="仿宋_GB2312" w:cs="Times New Roman"/>
          <w:color w:val="auto"/>
          <w:sz w:val="32"/>
          <w:szCs w:val="32"/>
          <w:highlight w:val="none"/>
          <w:shd w:val="clear" w:color="auto" w:fill="auto"/>
          <w:lang w:val="en-US" w:eastAsia="zh-CN"/>
        </w:rPr>
        <w:t>60.23</w:t>
      </w:r>
      <w:r>
        <w:rPr>
          <w:rFonts w:ascii="Times New Roman" w:hAnsi="Times New Roman" w:eastAsia="仿宋_GB2312" w:cs="Times New Roman"/>
          <w:color w:val="auto"/>
          <w:sz w:val="32"/>
          <w:szCs w:val="32"/>
          <w:highlight w:val="none"/>
          <w:shd w:val="clear" w:color="auto" w:fill="auto"/>
        </w:rPr>
        <w:t>%，决算数小于年初预算数的主要原因是：</w:t>
      </w:r>
      <w:r>
        <w:rPr>
          <w:rFonts w:hint="eastAsia" w:ascii="Times New Roman" w:hAnsi="Times New Roman" w:eastAsia="仿宋_GB2312" w:cs="Times New Roman"/>
          <w:color w:val="auto"/>
          <w:sz w:val="32"/>
          <w:szCs w:val="32"/>
          <w:highlight w:val="none"/>
          <w:shd w:val="clear" w:color="auto" w:fill="auto"/>
          <w:lang w:eastAsia="zh-CN"/>
        </w:rPr>
        <w:t>收到上级拨入资金和县级配套资金</w:t>
      </w:r>
      <w:r>
        <w:rPr>
          <w:rFonts w:hint="eastAsia" w:ascii="Times New Roman" w:hAnsi="Times New Roman" w:eastAsia="仿宋_GB2312" w:cs="Times New Roman"/>
          <w:color w:val="auto"/>
          <w:sz w:val="32"/>
          <w:szCs w:val="32"/>
          <w:highlight w:val="none"/>
          <w:shd w:val="clear" w:color="auto" w:fill="auto"/>
          <w:lang w:val="en-US" w:eastAsia="zh-CN"/>
        </w:rPr>
        <w:t>280万元。</w:t>
      </w:r>
    </w:p>
    <w:p>
      <w:pPr>
        <w:pStyle w:val="15"/>
        <w:numPr>
          <w:ilvl w:val="0"/>
          <w:numId w:val="1"/>
        </w:numPr>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社会保障和就业（类）社会福利（款）老年福利（项）。</w:t>
      </w:r>
    </w:p>
    <w:p>
      <w:pPr>
        <w:pStyle w:val="15"/>
        <w:widowControl w:val="0"/>
        <w:numPr>
          <w:ilvl w:val="0"/>
          <w:numId w:val="0"/>
        </w:numPr>
        <w:overflowPunct w:val="0"/>
        <w:autoSpaceDE/>
        <w:autoSpaceDN/>
        <w:adjustRightInd w:val="0"/>
        <w:spacing w:line="600" w:lineRule="exact"/>
        <w:ind w:firstLine="640" w:firstLineChars="200"/>
        <w:jc w:val="both"/>
        <w:rPr>
          <w:rFonts w:hint="default" w:ascii="Times New Roman" w:hAnsi="Times New Roman" w:eastAsia="仿宋_GB2312" w:cs="Times New Roman"/>
          <w:color w:val="auto"/>
          <w:sz w:val="32"/>
          <w:szCs w:val="32"/>
          <w:highlight w:val="none"/>
          <w:u w:val="none"/>
          <w:shd w:val="clear" w:color="auto" w:fill="auto"/>
          <w:lang w:val="en-US"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u w:val="none"/>
          <w:shd w:val="clear" w:color="auto" w:fill="auto"/>
          <w:lang w:val="en-US" w:eastAsia="zh-CN"/>
        </w:rPr>
        <w:t>201</w:t>
      </w:r>
      <w:r>
        <w:rPr>
          <w:rFonts w:ascii="Times New Roman" w:hAnsi="Times New Roman" w:eastAsia="仿宋_GB2312" w:cs="Times New Roman"/>
          <w:color w:val="auto"/>
          <w:sz w:val="32"/>
          <w:szCs w:val="32"/>
          <w:highlight w:val="none"/>
          <w:u w:val="none"/>
          <w:shd w:val="clear" w:color="auto" w:fill="auto"/>
        </w:rPr>
        <w:t>万元，支出决算为</w:t>
      </w:r>
      <w:r>
        <w:rPr>
          <w:rFonts w:hint="eastAsia" w:ascii="Times New Roman" w:hAnsi="Times New Roman" w:eastAsia="仿宋_GB2312" w:cs="Times New Roman"/>
          <w:color w:val="auto"/>
          <w:sz w:val="32"/>
          <w:szCs w:val="32"/>
          <w:highlight w:val="none"/>
          <w:u w:val="none"/>
          <w:shd w:val="clear" w:color="auto" w:fill="auto"/>
          <w:lang w:val="en-US" w:eastAsia="zh-CN"/>
        </w:rPr>
        <w:t>114.9</w:t>
      </w:r>
      <w:r>
        <w:rPr>
          <w:rFonts w:ascii="Times New Roman" w:hAnsi="Times New Roman" w:eastAsia="仿宋_GB2312" w:cs="Times New Roman"/>
          <w:color w:val="auto"/>
          <w:sz w:val="32"/>
          <w:szCs w:val="32"/>
          <w:highlight w:val="none"/>
          <w:u w:val="none"/>
          <w:shd w:val="clear" w:color="auto" w:fill="auto"/>
        </w:rPr>
        <w:t>万元，</w:t>
      </w:r>
      <w:r>
        <w:rPr>
          <w:rFonts w:ascii="Times New Roman" w:hAnsi="Times New Roman" w:eastAsia="仿宋_GB2312" w:cs="Times New Roman"/>
          <w:color w:val="auto"/>
          <w:sz w:val="32"/>
          <w:szCs w:val="32"/>
          <w:highlight w:val="none"/>
          <w:shd w:val="clear" w:color="auto" w:fill="auto"/>
        </w:rPr>
        <w:t>完成年初预算的</w:t>
      </w:r>
      <w:r>
        <w:rPr>
          <w:rFonts w:hint="eastAsia" w:ascii="Times New Roman" w:hAnsi="Times New Roman" w:eastAsia="仿宋_GB2312" w:cs="Times New Roman"/>
          <w:color w:val="auto"/>
          <w:sz w:val="32"/>
          <w:szCs w:val="32"/>
          <w:highlight w:val="none"/>
          <w:shd w:val="clear" w:color="auto" w:fill="auto"/>
          <w:lang w:val="en-US" w:eastAsia="zh-CN"/>
        </w:rPr>
        <w:t>57.16</w:t>
      </w:r>
      <w:r>
        <w:rPr>
          <w:rFonts w:ascii="Times New Roman" w:hAnsi="Times New Roman" w:eastAsia="仿宋_GB2312" w:cs="Times New Roman"/>
          <w:color w:val="auto"/>
          <w:sz w:val="32"/>
          <w:szCs w:val="32"/>
          <w:highlight w:val="none"/>
          <w:shd w:val="clear" w:color="auto" w:fill="auto"/>
        </w:rPr>
        <w:t>%，决算数小于年初预算数的主要原因是：</w:t>
      </w:r>
      <w:r>
        <w:rPr>
          <w:rFonts w:hint="eastAsia" w:ascii="Times New Roman" w:hAnsi="Times New Roman" w:eastAsia="仿宋_GB2312" w:cs="Times New Roman"/>
          <w:color w:val="auto"/>
          <w:sz w:val="32"/>
          <w:szCs w:val="32"/>
          <w:highlight w:val="none"/>
          <w:shd w:val="clear" w:color="auto" w:fill="auto"/>
          <w:lang w:eastAsia="zh-CN"/>
        </w:rPr>
        <w:t>收到上级拨入资金和县级配套资金</w:t>
      </w:r>
      <w:r>
        <w:rPr>
          <w:rFonts w:hint="eastAsia" w:ascii="Times New Roman" w:hAnsi="Times New Roman" w:eastAsia="仿宋_GB2312" w:cs="Times New Roman"/>
          <w:color w:val="auto"/>
          <w:sz w:val="32"/>
          <w:szCs w:val="32"/>
          <w:highlight w:val="none"/>
          <w:shd w:val="clear" w:color="auto" w:fill="auto"/>
          <w:lang w:val="en-US" w:eastAsia="zh-CN"/>
        </w:rPr>
        <w:t>115万元。</w:t>
      </w:r>
    </w:p>
    <w:p>
      <w:pPr>
        <w:pStyle w:val="15"/>
        <w:numPr>
          <w:ilvl w:val="0"/>
          <w:numId w:val="1"/>
        </w:numPr>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社会保障和就业（类）残疾人事业（款）残疾人生活和护理补贴（项）。</w:t>
      </w:r>
    </w:p>
    <w:p>
      <w:pPr>
        <w:pStyle w:val="15"/>
        <w:widowControl w:val="0"/>
        <w:numPr>
          <w:ilvl w:val="0"/>
          <w:numId w:val="0"/>
        </w:numPr>
        <w:overflowPunct w:val="0"/>
        <w:autoSpaceDE/>
        <w:autoSpaceDN/>
        <w:adjustRightInd w:val="0"/>
        <w:spacing w:line="600" w:lineRule="exact"/>
        <w:ind w:firstLine="640" w:firstLineChars="200"/>
        <w:jc w:val="both"/>
        <w:rPr>
          <w:rFonts w:hint="default" w:ascii="Times New Roman" w:hAnsi="Times New Roman" w:eastAsia="仿宋_GB2312" w:cs="Times New Roman"/>
          <w:color w:val="auto"/>
          <w:sz w:val="32"/>
          <w:szCs w:val="32"/>
          <w:highlight w:val="none"/>
          <w:u w:val="none"/>
          <w:shd w:val="clear" w:color="auto" w:fill="auto"/>
          <w:lang w:val="en-US"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u w:val="none"/>
          <w:shd w:val="clear" w:color="auto" w:fill="auto"/>
          <w:lang w:val="en-US" w:eastAsia="zh-CN"/>
        </w:rPr>
        <w:t>783.31</w:t>
      </w:r>
      <w:r>
        <w:rPr>
          <w:rFonts w:ascii="Times New Roman" w:hAnsi="Times New Roman" w:eastAsia="仿宋_GB2312" w:cs="Times New Roman"/>
          <w:color w:val="auto"/>
          <w:sz w:val="32"/>
          <w:szCs w:val="32"/>
          <w:highlight w:val="none"/>
          <w:u w:val="none"/>
          <w:shd w:val="clear" w:color="auto" w:fill="auto"/>
        </w:rPr>
        <w:t>万元，支出决算为</w:t>
      </w:r>
      <w:r>
        <w:rPr>
          <w:rFonts w:hint="eastAsia" w:ascii="Times New Roman" w:hAnsi="Times New Roman" w:eastAsia="仿宋_GB2312" w:cs="Times New Roman"/>
          <w:color w:val="auto"/>
          <w:sz w:val="32"/>
          <w:szCs w:val="32"/>
          <w:highlight w:val="none"/>
          <w:u w:val="none"/>
          <w:shd w:val="clear" w:color="auto" w:fill="auto"/>
          <w:lang w:val="en-US" w:eastAsia="zh-CN"/>
        </w:rPr>
        <w:t>645.3</w:t>
      </w:r>
      <w:r>
        <w:rPr>
          <w:rFonts w:ascii="Times New Roman" w:hAnsi="Times New Roman" w:eastAsia="仿宋_GB2312" w:cs="Times New Roman"/>
          <w:color w:val="auto"/>
          <w:sz w:val="32"/>
          <w:szCs w:val="32"/>
          <w:highlight w:val="none"/>
          <w:u w:val="none"/>
          <w:shd w:val="clear" w:color="auto" w:fill="auto"/>
        </w:rPr>
        <w:t>万元，</w:t>
      </w:r>
      <w:r>
        <w:rPr>
          <w:rFonts w:ascii="Times New Roman" w:hAnsi="Times New Roman" w:eastAsia="仿宋_GB2312" w:cs="Times New Roman"/>
          <w:color w:val="auto"/>
          <w:sz w:val="32"/>
          <w:szCs w:val="32"/>
          <w:highlight w:val="none"/>
          <w:shd w:val="clear" w:color="auto" w:fill="auto"/>
        </w:rPr>
        <w:t>完成年初预算的</w:t>
      </w:r>
      <w:r>
        <w:rPr>
          <w:rFonts w:hint="eastAsia" w:ascii="Times New Roman" w:hAnsi="Times New Roman" w:eastAsia="仿宋_GB2312" w:cs="Times New Roman"/>
          <w:color w:val="auto"/>
          <w:sz w:val="32"/>
          <w:szCs w:val="32"/>
          <w:highlight w:val="none"/>
          <w:shd w:val="clear" w:color="auto" w:fill="auto"/>
          <w:lang w:val="en-US" w:eastAsia="zh-CN"/>
        </w:rPr>
        <w:t>82.38</w:t>
      </w:r>
      <w:r>
        <w:rPr>
          <w:rFonts w:ascii="Times New Roman" w:hAnsi="Times New Roman" w:eastAsia="仿宋_GB2312" w:cs="Times New Roman"/>
          <w:color w:val="auto"/>
          <w:sz w:val="32"/>
          <w:szCs w:val="32"/>
          <w:highlight w:val="none"/>
          <w:shd w:val="clear" w:color="auto" w:fill="auto"/>
        </w:rPr>
        <w:t>%，</w:t>
      </w:r>
      <w:r>
        <w:rPr>
          <w:rFonts w:hint="eastAsia" w:ascii="Times New Roman" w:hAnsi="Times New Roman" w:eastAsia="仿宋_GB2312" w:cs="Times New Roman"/>
          <w:color w:val="auto"/>
          <w:sz w:val="32"/>
          <w:szCs w:val="32"/>
          <w:highlight w:val="none"/>
          <w:u w:val="none"/>
          <w:shd w:val="clear" w:color="auto" w:fill="auto"/>
          <w:lang w:eastAsia="zh-CN"/>
        </w:rPr>
        <w:t>决算数小于预算数的主要原因是：收到上级拨入资金和县级配套资金共计</w:t>
      </w:r>
      <w:r>
        <w:rPr>
          <w:rFonts w:hint="eastAsia" w:ascii="Times New Roman" w:hAnsi="Times New Roman" w:eastAsia="仿宋_GB2312" w:cs="Times New Roman"/>
          <w:color w:val="auto"/>
          <w:sz w:val="32"/>
          <w:szCs w:val="32"/>
          <w:highlight w:val="none"/>
          <w:u w:val="none"/>
          <w:shd w:val="clear" w:color="auto" w:fill="auto"/>
          <w:lang w:val="en-US" w:eastAsia="zh-CN"/>
        </w:rPr>
        <w:t>658.462万元。</w:t>
      </w:r>
    </w:p>
    <w:p>
      <w:pPr>
        <w:pStyle w:val="15"/>
        <w:numPr>
          <w:ilvl w:val="0"/>
          <w:numId w:val="0"/>
        </w:numPr>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10、社会保障和就业（类）最低生活保障（款）城市最低生活保障金支出（项）。</w:t>
      </w:r>
    </w:p>
    <w:p>
      <w:pPr>
        <w:pStyle w:val="15"/>
        <w:widowControl w:val="0"/>
        <w:numPr>
          <w:ilvl w:val="0"/>
          <w:numId w:val="0"/>
        </w:numPr>
        <w:overflowPunct w:val="0"/>
        <w:autoSpaceDE/>
        <w:autoSpaceDN/>
        <w:adjustRightInd w:val="0"/>
        <w:spacing w:line="600" w:lineRule="exact"/>
        <w:ind w:firstLine="640" w:firstLineChars="200"/>
        <w:jc w:val="both"/>
        <w:rPr>
          <w:rFonts w:hint="default" w:ascii="Times New Roman" w:hAnsi="Times New Roman" w:eastAsia="仿宋_GB2312" w:cs="Times New Roman"/>
          <w:color w:val="auto"/>
          <w:sz w:val="32"/>
          <w:szCs w:val="32"/>
          <w:highlight w:val="none"/>
          <w:u w:val="none"/>
          <w:shd w:val="clear" w:color="auto" w:fill="auto"/>
          <w:lang w:val="en-US"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u w:val="none"/>
          <w:shd w:val="clear" w:color="auto" w:fill="auto"/>
          <w:lang w:val="en-US" w:eastAsia="zh-CN"/>
        </w:rPr>
        <w:t>678.3</w:t>
      </w:r>
      <w:r>
        <w:rPr>
          <w:rFonts w:ascii="Times New Roman" w:hAnsi="Times New Roman" w:eastAsia="仿宋_GB2312" w:cs="Times New Roman"/>
          <w:color w:val="auto"/>
          <w:sz w:val="32"/>
          <w:szCs w:val="32"/>
          <w:highlight w:val="none"/>
          <w:u w:val="none"/>
          <w:shd w:val="clear" w:color="auto" w:fill="auto"/>
        </w:rPr>
        <w:t>万元，支出决算为</w:t>
      </w:r>
      <w:r>
        <w:rPr>
          <w:rFonts w:hint="eastAsia" w:ascii="Times New Roman" w:hAnsi="Times New Roman" w:eastAsia="仿宋_GB2312" w:cs="Times New Roman"/>
          <w:color w:val="auto"/>
          <w:sz w:val="32"/>
          <w:szCs w:val="32"/>
          <w:highlight w:val="none"/>
          <w:u w:val="none"/>
          <w:shd w:val="clear" w:color="auto" w:fill="auto"/>
          <w:lang w:val="en-US" w:eastAsia="zh-CN"/>
        </w:rPr>
        <w:t>508.32</w:t>
      </w:r>
      <w:r>
        <w:rPr>
          <w:rFonts w:ascii="Times New Roman" w:hAnsi="Times New Roman" w:eastAsia="仿宋_GB2312" w:cs="Times New Roman"/>
          <w:color w:val="auto"/>
          <w:sz w:val="32"/>
          <w:szCs w:val="32"/>
          <w:highlight w:val="none"/>
          <w:u w:val="none"/>
          <w:shd w:val="clear" w:color="auto" w:fill="auto"/>
        </w:rPr>
        <w:t>万元，</w:t>
      </w:r>
      <w:r>
        <w:rPr>
          <w:rFonts w:ascii="Times New Roman" w:hAnsi="Times New Roman" w:eastAsia="仿宋_GB2312" w:cs="Times New Roman"/>
          <w:color w:val="auto"/>
          <w:sz w:val="32"/>
          <w:szCs w:val="32"/>
          <w:highlight w:val="none"/>
          <w:shd w:val="clear" w:color="auto" w:fill="auto"/>
        </w:rPr>
        <w:t>完成年初预算的</w:t>
      </w:r>
      <w:r>
        <w:rPr>
          <w:rFonts w:hint="eastAsia" w:ascii="Times New Roman" w:hAnsi="Times New Roman" w:eastAsia="仿宋_GB2312" w:cs="Times New Roman"/>
          <w:color w:val="auto"/>
          <w:sz w:val="32"/>
          <w:szCs w:val="32"/>
          <w:highlight w:val="none"/>
          <w:shd w:val="clear" w:color="auto" w:fill="auto"/>
          <w:lang w:val="en-US" w:eastAsia="zh-CN"/>
        </w:rPr>
        <w:t>74.94</w:t>
      </w:r>
      <w:r>
        <w:rPr>
          <w:rFonts w:ascii="Times New Roman" w:hAnsi="Times New Roman" w:eastAsia="仿宋_GB2312" w:cs="Times New Roman"/>
          <w:color w:val="auto"/>
          <w:sz w:val="32"/>
          <w:szCs w:val="32"/>
          <w:highlight w:val="none"/>
          <w:shd w:val="clear" w:color="auto" w:fill="auto"/>
        </w:rPr>
        <w:t>%，</w:t>
      </w:r>
      <w:r>
        <w:rPr>
          <w:rFonts w:hint="eastAsia" w:ascii="Times New Roman" w:hAnsi="Times New Roman" w:eastAsia="仿宋_GB2312" w:cs="Times New Roman"/>
          <w:color w:val="auto"/>
          <w:sz w:val="32"/>
          <w:szCs w:val="32"/>
          <w:highlight w:val="none"/>
          <w:u w:val="none"/>
          <w:shd w:val="clear" w:color="auto" w:fill="auto"/>
          <w:lang w:eastAsia="zh-CN"/>
        </w:rPr>
        <w:t>决算数小于预算数的主要原因是：收到上级拨入资金和县级配套资金</w:t>
      </w:r>
      <w:r>
        <w:rPr>
          <w:rFonts w:hint="eastAsia" w:ascii="Times New Roman" w:hAnsi="Times New Roman" w:eastAsia="仿宋_GB2312" w:cs="Times New Roman"/>
          <w:color w:val="auto"/>
          <w:sz w:val="32"/>
          <w:szCs w:val="32"/>
          <w:highlight w:val="none"/>
          <w:u w:val="none"/>
          <w:shd w:val="clear" w:color="auto" w:fill="auto"/>
          <w:lang w:val="en-US" w:eastAsia="zh-CN"/>
        </w:rPr>
        <w:t>509万元。</w:t>
      </w:r>
    </w:p>
    <w:p>
      <w:pPr>
        <w:pStyle w:val="15"/>
        <w:numPr>
          <w:ilvl w:val="0"/>
          <w:numId w:val="0"/>
        </w:numPr>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11、社会保障和就业（类）最低生活保障（款）农村最低生活保障金支出（项）。</w:t>
      </w:r>
    </w:p>
    <w:p>
      <w:pPr>
        <w:pStyle w:val="15"/>
        <w:widowControl w:val="0"/>
        <w:numPr>
          <w:ilvl w:val="0"/>
          <w:numId w:val="0"/>
        </w:numPr>
        <w:overflowPunct w:val="0"/>
        <w:autoSpaceDE/>
        <w:autoSpaceDN/>
        <w:adjustRightInd w:val="0"/>
        <w:spacing w:line="600" w:lineRule="exact"/>
        <w:ind w:firstLine="640" w:firstLineChars="200"/>
        <w:jc w:val="both"/>
        <w:rPr>
          <w:rFonts w:hint="default" w:ascii="Times New Roman" w:hAnsi="Times New Roman" w:eastAsia="仿宋_GB2312" w:cs="Times New Roman"/>
          <w:color w:val="auto"/>
          <w:sz w:val="32"/>
          <w:szCs w:val="32"/>
          <w:highlight w:val="none"/>
          <w:shd w:val="clear" w:color="auto" w:fill="auto"/>
          <w:lang w:val="en-US"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u w:val="none"/>
          <w:shd w:val="clear" w:color="auto" w:fill="auto"/>
          <w:lang w:val="en-US" w:eastAsia="zh-CN"/>
        </w:rPr>
        <w:t>2660</w:t>
      </w:r>
      <w:r>
        <w:rPr>
          <w:rFonts w:ascii="Times New Roman" w:hAnsi="Times New Roman" w:eastAsia="仿宋_GB2312" w:cs="Times New Roman"/>
          <w:color w:val="auto"/>
          <w:sz w:val="32"/>
          <w:szCs w:val="32"/>
          <w:highlight w:val="none"/>
          <w:u w:val="none"/>
          <w:shd w:val="clear" w:color="auto" w:fill="auto"/>
        </w:rPr>
        <w:t>万元，支出决算为</w:t>
      </w:r>
      <w:r>
        <w:rPr>
          <w:rFonts w:hint="eastAsia" w:ascii="Times New Roman" w:hAnsi="Times New Roman" w:eastAsia="仿宋_GB2312" w:cs="Times New Roman"/>
          <w:color w:val="auto"/>
          <w:sz w:val="32"/>
          <w:szCs w:val="32"/>
          <w:highlight w:val="none"/>
          <w:u w:val="none"/>
          <w:shd w:val="clear" w:color="auto" w:fill="auto"/>
          <w:lang w:val="en-US" w:eastAsia="zh-CN"/>
        </w:rPr>
        <w:t>2892.86</w:t>
      </w:r>
      <w:r>
        <w:rPr>
          <w:rFonts w:ascii="Times New Roman" w:hAnsi="Times New Roman" w:eastAsia="仿宋_GB2312" w:cs="Times New Roman"/>
          <w:color w:val="auto"/>
          <w:sz w:val="32"/>
          <w:szCs w:val="32"/>
          <w:highlight w:val="none"/>
          <w:u w:val="none"/>
          <w:shd w:val="clear" w:color="auto" w:fill="auto"/>
        </w:rPr>
        <w:t>万元，</w:t>
      </w:r>
      <w:r>
        <w:rPr>
          <w:rFonts w:ascii="Times New Roman" w:hAnsi="Times New Roman" w:eastAsia="仿宋_GB2312" w:cs="Times New Roman"/>
          <w:color w:val="auto"/>
          <w:sz w:val="32"/>
          <w:szCs w:val="32"/>
          <w:highlight w:val="none"/>
          <w:shd w:val="clear" w:color="auto" w:fill="auto"/>
        </w:rPr>
        <w:t>完成年初预算的</w:t>
      </w:r>
      <w:r>
        <w:rPr>
          <w:rFonts w:hint="eastAsia" w:ascii="Times New Roman" w:hAnsi="Times New Roman" w:eastAsia="仿宋_GB2312" w:cs="Times New Roman"/>
          <w:color w:val="auto"/>
          <w:sz w:val="32"/>
          <w:szCs w:val="32"/>
          <w:highlight w:val="none"/>
          <w:shd w:val="clear" w:color="auto" w:fill="auto"/>
          <w:lang w:val="en-US" w:eastAsia="zh-CN"/>
        </w:rPr>
        <w:t>108.75</w:t>
      </w:r>
      <w:r>
        <w:rPr>
          <w:rFonts w:ascii="Times New Roman" w:hAnsi="Times New Roman" w:eastAsia="仿宋_GB2312" w:cs="Times New Roman"/>
          <w:color w:val="auto"/>
          <w:sz w:val="32"/>
          <w:szCs w:val="32"/>
          <w:highlight w:val="none"/>
          <w:shd w:val="clear" w:color="auto" w:fill="auto"/>
        </w:rPr>
        <w:t>%，</w:t>
      </w:r>
      <w:r>
        <w:rPr>
          <w:rFonts w:hint="eastAsia" w:ascii="Times New Roman" w:hAnsi="Times New Roman" w:eastAsia="仿宋_GB2312" w:cs="Times New Roman"/>
          <w:color w:val="auto"/>
          <w:sz w:val="32"/>
          <w:szCs w:val="32"/>
          <w:highlight w:val="none"/>
          <w:u w:val="none"/>
          <w:shd w:val="clear" w:color="auto" w:fill="auto"/>
          <w:lang w:eastAsia="zh-CN"/>
        </w:rPr>
        <w:t>决算数大于预算数的主要原因是：救助</w:t>
      </w:r>
      <w:r>
        <w:rPr>
          <w:rFonts w:hint="eastAsia" w:ascii="Times New Roman" w:hAnsi="Times New Roman" w:eastAsia="仿宋_GB2312" w:cs="Times New Roman"/>
          <w:color w:val="auto"/>
          <w:sz w:val="32"/>
          <w:szCs w:val="32"/>
          <w:highlight w:val="none"/>
          <w:u w:val="none"/>
          <w:shd w:val="clear" w:color="auto" w:fill="auto"/>
          <w:lang w:val="en-US" w:eastAsia="zh-CN"/>
        </w:rPr>
        <w:t>提标，发放一次性生活补贴导致决算数增加。</w:t>
      </w:r>
    </w:p>
    <w:p>
      <w:pPr>
        <w:pStyle w:val="15"/>
        <w:numPr>
          <w:ilvl w:val="0"/>
          <w:numId w:val="0"/>
        </w:numPr>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12、社会保障和就业（类）临时救助（款）临时救助支出（项）。</w:t>
      </w:r>
    </w:p>
    <w:p>
      <w:pPr>
        <w:pStyle w:val="15"/>
        <w:numPr>
          <w:ilvl w:val="0"/>
          <w:numId w:val="0"/>
        </w:numPr>
        <w:spacing w:line="600" w:lineRule="exact"/>
        <w:ind w:firstLine="640" w:firstLineChars="200"/>
        <w:rPr>
          <w:rFonts w:hint="eastAsia" w:ascii="Times New Roman" w:hAnsi="Times New Roman" w:eastAsia="仿宋_GB2312" w:cs="Times New Roman"/>
          <w:color w:val="auto"/>
          <w:sz w:val="32"/>
          <w:szCs w:val="32"/>
          <w:highlight w:val="none"/>
          <w:u w:val="none"/>
          <w:shd w:val="clear" w:color="auto" w:fill="auto"/>
          <w:lang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u w:val="none"/>
          <w:shd w:val="clear" w:color="auto" w:fill="auto"/>
          <w:lang w:val="en-US" w:eastAsia="zh-CN"/>
        </w:rPr>
        <w:t>520</w:t>
      </w:r>
      <w:r>
        <w:rPr>
          <w:rFonts w:ascii="Times New Roman" w:hAnsi="Times New Roman" w:eastAsia="仿宋_GB2312" w:cs="Times New Roman"/>
          <w:color w:val="auto"/>
          <w:sz w:val="32"/>
          <w:szCs w:val="32"/>
          <w:highlight w:val="none"/>
          <w:u w:val="none"/>
          <w:shd w:val="clear" w:color="auto" w:fill="auto"/>
        </w:rPr>
        <w:t>万元，支出决算为</w:t>
      </w:r>
      <w:r>
        <w:rPr>
          <w:rFonts w:hint="eastAsia" w:ascii="Times New Roman" w:hAnsi="Times New Roman" w:eastAsia="仿宋_GB2312" w:cs="Times New Roman"/>
          <w:color w:val="auto"/>
          <w:sz w:val="32"/>
          <w:szCs w:val="32"/>
          <w:highlight w:val="none"/>
          <w:u w:val="none"/>
          <w:shd w:val="clear" w:color="auto" w:fill="auto"/>
          <w:lang w:val="en-US" w:eastAsia="zh-CN"/>
        </w:rPr>
        <w:t>577.8</w:t>
      </w:r>
      <w:r>
        <w:rPr>
          <w:rFonts w:ascii="Times New Roman" w:hAnsi="Times New Roman" w:eastAsia="仿宋_GB2312" w:cs="Times New Roman"/>
          <w:color w:val="auto"/>
          <w:sz w:val="32"/>
          <w:szCs w:val="32"/>
          <w:highlight w:val="none"/>
          <w:u w:val="none"/>
          <w:shd w:val="clear" w:color="auto" w:fill="auto"/>
        </w:rPr>
        <w:t>万元，</w:t>
      </w:r>
      <w:r>
        <w:rPr>
          <w:rFonts w:ascii="Times New Roman" w:hAnsi="Times New Roman" w:eastAsia="仿宋_GB2312" w:cs="Times New Roman"/>
          <w:color w:val="auto"/>
          <w:sz w:val="32"/>
          <w:szCs w:val="32"/>
          <w:highlight w:val="none"/>
          <w:shd w:val="clear" w:color="auto" w:fill="auto"/>
        </w:rPr>
        <w:t>完成年初预算的</w:t>
      </w:r>
      <w:r>
        <w:rPr>
          <w:rFonts w:hint="eastAsia" w:ascii="Times New Roman" w:hAnsi="Times New Roman" w:eastAsia="仿宋_GB2312" w:cs="Times New Roman"/>
          <w:color w:val="auto"/>
          <w:sz w:val="32"/>
          <w:szCs w:val="32"/>
          <w:highlight w:val="none"/>
          <w:shd w:val="clear" w:color="auto" w:fill="auto"/>
          <w:lang w:val="en-US" w:eastAsia="zh-CN"/>
        </w:rPr>
        <w:t>111.12</w:t>
      </w:r>
      <w:r>
        <w:rPr>
          <w:rFonts w:ascii="Times New Roman" w:hAnsi="Times New Roman" w:eastAsia="仿宋_GB2312" w:cs="Times New Roman"/>
          <w:color w:val="auto"/>
          <w:sz w:val="32"/>
          <w:szCs w:val="32"/>
          <w:highlight w:val="none"/>
          <w:shd w:val="clear" w:color="auto" w:fill="auto"/>
        </w:rPr>
        <w:t>%，</w:t>
      </w:r>
      <w:r>
        <w:rPr>
          <w:rFonts w:hint="eastAsia" w:ascii="Times New Roman" w:hAnsi="Times New Roman" w:eastAsia="仿宋_GB2312" w:cs="Times New Roman"/>
          <w:color w:val="auto"/>
          <w:sz w:val="32"/>
          <w:szCs w:val="32"/>
          <w:highlight w:val="none"/>
          <w:u w:val="none"/>
          <w:shd w:val="clear" w:color="auto" w:fill="auto"/>
          <w:lang w:eastAsia="zh-CN"/>
        </w:rPr>
        <w:t>决算数大于预算数的主要原因是：支付往年救助物资款。</w:t>
      </w:r>
    </w:p>
    <w:p>
      <w:pPr>
        <w:pStyle w:val="15"/>
        <w:numPr>
          <w:ilvl w:val="0"/>
          <w:numId w:val="0"/>
        </w:numPr>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13、社会保障和就业（类）临时救助（款）流浪乞讨人员救助支出（项）。</w:t>
      </w:r>
    </w:p>
    <w:p>
      <w:pPr>
        <w:pStyle w:val="15"/>
        <w:spacing w:line="600" w:lineRule="exact"/>
        <w:ind w:firstLine="640" w:firstLineChars="200"/>
        <w:rPr>
          <w:rFonts w:hint="eastAsia" w:ascii="Times New Roman" w:hAnsi="Times New Roman" w:eastAsia="仿宋_GB2312" w:cs="Times New Roman"/>
          <w:color w:val="auto"/>
          <w:sz w:val="32"/>
          <w:szCs w:val="32"/>
          <w:highlight w:val="none"/>
          <w:u w:val="none"/>
          <w:shd w:val="clear" w:color="auto" w:fill="auto"/>
          <w:lang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u w:val="none"/>
          <w:shd w:val="clear" w:color="auto" w:fill="auto"/>
          <w:lang w:val="en-US" w:eastAsia="zh-CN"/>
        </w:rPr>
        <w:t>0</w:t>
      </w:r>
      <w:r>
        <w:rPr>
          <w:rFonts w:ascii="Times New Roman" w:hAnsi="Times New Roman" w:eastAsia="仿宋_GB2312" w:cs="Times New Roman"/>
          <w:color w:val="auto"/>
          <w:sz w:val="32"/>
          <w:szCs w:val="32"/>
          <w:highlight w:val="none"/>
          <w:u w:val="none"/>
          <w:shd w:val="clear" w:color="auto" w:fill="auto"/>
        </w:rPr>
        <w:t>万元，支出决算为</w:t>
      </w:r>
      <w:r>
        <w:rPr>
          <w:rFonts w:hint="eastAsia" w:ascii="Times New Roman" w:hAnsi="Times New Roman" w:eastAsia="仿宋_GB2312" w:cs="Times New Roman"/>
          <w:color w:val="auto"/>
          <w:sz w:val="32"/>
          <w:szCs w:val="32"/>
          <w:highlight w:val="none"/>
          <w:u w:val="none"/>
          <w:shd w:val="clear" w:color="auto" w:fill="auto"/>
          <w:lang w:val="en-US" w:eastAsia="zh-CN"/>
        </w:rPr>
        <w:t>7</w:t>
      </w:r>
      <w:r>
        <w:rPr>
          <w:rFonts w:ascii="Times New Roman" w:hAnsi="Times New Roman" w:eastAsia="仿宋_GB2312" w:cs="Times New Roman"/>
          <w:color w:val="auto"/>
          <w:sz w:val="32"/>
          <w:szCs w:val="32"/>
          <w:highlight w:val="none"/>
          <w:u w:val="none"/>
          <w:shd w:val="clear" w:color="auto" w:fill="auto"/>
        </w:rPr>
        <w:t>万元，</w:t>
      </w:r>
      <w:r>
        <w:rPr>
          <w:rFonts w:ascii="Times New Roman" w:hAnsi="Times New Roman" w:eastAsia="仿宋_GB2312" w:cs="Times New Roman"/>
          <w:color w:val="auto"/>
          <w:sz w:val="32"/>
          <w:szCs w:val="32"/>
          <w:highlight w:val="none"/>
          <w:shd w:val="clear" w:color="auto" w:fill="auto"/>
        </w:rPr>
        <w:t>完成年初预算的</w:t>
      </w:r>
      <w:r>
        <w:rPr>
          <w:rFonts w:hint="eastAsia" w:ascii="Times New Roman" w:hAnsi="Times New Roman" w:eastAsia="仿宋_GB2312" w:cs="Times New Roman"/>
          <w:color w:val="auto"/>
          <w:sz w:val="32"/>
          <w:szCs w:val="32"/>
          <w:highlight w:val="none"/>
          <w:shd w:val="clear" w:color="auto" w:fill="auto"/>
          <w:lang w:val="en-US" w:eastAsia="zh-CN"/>
        </w:rPr>
        <w:t>0</w:t>
      </w:r>
      <w:r>
        <w:rPr>
          <w:rFonts w:ascii="Times New Roman" w:hAnsi="Times New Roman" w:eastAsia="仿宋_GB2312" w:cs="Times New Roman"/>
          <w:color w:val="auto"/>
          <w:sz w:val="32"/>
          <w:szCs w:val="32"/>
          <w:highlight w:val="none"/>
          <w:shd w:val="clear" w:color="auto" w:fill="auto"/>
        </w:rPr>
        <w:t>%，</w:t>
      </w:r>
      <w:r>
        <w:rPr>
          <w:rFonts w:hint="eastAsia" w:ascii="Times New Roman" w:hAnsi="Times New Roman" w:eastAsia="仿宋_GB2312" w:cs="Times New Roman"/>
          <w:color w:val="auto"/>
          <w:sz w:val="32"/>
          <w:szCs w:val="32"/>
          <w:highlight w:val="none"/>
          <w:u w:val="none"/>
          <w:shd w:val="clear" w:color="auto" w:fill="auto"/>
          <w:lang w:eastAsia="zh-CN"/>
        </w:rPr>
        <w:t>决算数大于预算数的主要原因是：</w:t>
      </w:r>
      <w:r>
        <w:rPr>
          <w:rFonts w:ascii="Times New Roman" w:hAnsi="Times New Roman" w:eastAsia="仿宋_GB2312" w:cs="Times New Roman"/>
          <w:color w:val="auto"/>
          <w:sz w:val="32"/>
          <w:szCs w:val="32"/>
          <w:highlight w:val="none"/>
          <w:u w:val="none"/>
          <w:shd w:val="clear" w:color="auto" w:fill="auto"/>
        </w:rPr>
        <w:t>决算数大于年初预算数的主要原因是：</w:t>
      </w:r>
      <w:r>
        <w:rPr>
          <w:rFonts w:hint="eastAsia" w:ascii="Times New Roman" w:hAnsi="Times New Roman" w:eastAsia="仿宋_GB2312" w:cs="Times New Roman"/>
          <w:color w:val="auto"/>
          <w:sz w:val="32"/>
          <w:szCs w:val="32"/>
          <w:highlight w:val="none"/>
          <w:u w:val="none"/>
          <w:shd w:val="clear" w:color="auto" w:fill="auto"/>
          <w:lang w:eastAsia="zh-CN"/>
        </w:rPr>
        <w:t>年初未做流浪乞讨预算。</w:t>
      </w:r>
    </w:p>
    <w:p>
      <w:pPr>
        <w:pStyle w:val="15"/>
        <w:numPr>
          <w:ilvl w:val="0"/>
          <w:numId w:val="0"/>
        </w:numPr>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14、社会保障和就业（类）特困人员救助供养（款）城市特困人员救助供养支出（项）。</w:t>
      </w:r>
    </w:p>
    <w:p>
      <w:pPr>
        <w:pStyle w:val="15"/>
        <w:widowControl w:val="0"/>
        <w:numPr>
          <w:ilvl w:val="0"/>
          <w:numId w:val="0"/>
        </w:numPr>
        <w:overflowPunct w:val="0"/>
        <w:autoSpaceDE/>
        <w:autoSpaceDN/>
        <w:adjustRightInd w:val="0"/>
        <w:spacing w:line="600" w:lineRule="exact"/>
        <w:ind w:firstLine="640" w:firstLineChars="200"/>
        <w:jc w:val="both"/>
        <w:rPr>
          <w:rFonts w:hint="default" w:ascii="Times New Roman" w:hAnsi="Times New Roman" w:eastAsia="仿宋_GB2312" w:cs="Times New Roman"/>
          <w:color w:val="auto"/>
          <w:sz w:val="32"/>
          <w:szCs w:val="32"/>
          <w:highlight w:val="none"/>
          <w:shd w:val="clear" w:color="auto" w:fill="auto"/>
          <w:lang w:val="en-US"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u w:val="none"/>
          <w:shd w:val="clear" w:color="auto" w:fill="auto"/>
          <w:lang w:val="en-US" w:eastAsia="zh-CN"/>
        </w:rPr>
        <w:t>30</w:t>
      </w:r>
      <w:r>
        <w:rPr>
          <w:rFonts w:ascii="Times New Roman" w:hAnsi="Times New Roman" w:eastAsia="仿宋_GB2312" w:cs="Times New Roman"/>
          <w:color w:val="auto"/>
          <w:sz w:val="32"/>
          <w:szCs w:val="32"/>
          <w:highlight w:val="none"/>
          <w:u w:val="none"/>
          <w:shd w:val="clear" w:color="auto" w:fill="auto"/>
        </w:rPr>
        <w:t>万元，支出决算为</w:t>
      </w:r>
      <w:r>
        <w:rPr>
          <w:rFonts w:hint="eastAsia" w:ascii="Times New Roman" w:hAnsi="Times New Roman" w:eastAsia="仿宋_GB2312" w:cs="Times New Roman"/>
          <w:color w:val="auto"/>
          <w:sz w:val="32"/>
          <w:szCs w:val="32"/>
          <w:highlight w:val="none"/>
          <w:u w:val="none"/>
          <w:shd w:val="clear" w:color="auto" w:fill="auto"/>
          <w:lang w:val="en-US" w:eastAsia="zh-CN"/>
        </w:rPr>
        <w:t>33.79</w:t>
      </w:r>
      <w:r>
        <w:rPr>
          <w:rFonts w:ascii="Times New Roman" w:hAnsi="Times New Roman" w:eastAsia="仿宋_GB2312" w:cs="Times New Roman"/>
          <w:color w:val="auto"/>
          <w:sz w:val="32"/>
          <w:szCs w:val="32"/>
          <w:highlight w:val="none"/>
          <w:u w:val="none"/>
          <w:shd w:val="clear" w:color="auto" w:fill="auto"/>
        </w:rPr>
        <w:t>万元，</w:t>
      </w:r>
      <w:r>
        <w:rPr>
          <w:rFonts w:ascii="Times New Roman" w:hAnsi="Times New Roman" w:eastAsia="仿宋_GB2312" w:cs="Times New Roman"/>
          <w:color w:val="auto"/>
          <w:sz w:val="32"/>
          <w:szCs w:val="32"/>
          <w:highlight w:val="none"/>
          <w:shd w:val="clear" w:color="auto" w:fill="auto"/>
        </w:rPr>
        <w:t>完成年初预算的</w:t>
      </w:r>
      <w:r>
        <w:rPr>
          <w:rFonts w:hint="eastAsia" w:ascii="Times New Roman" w:hAnsi="Times New Roman" w:eastAsia="仿宋_GB2312" w:cs="Times New Roman"/>
          <w:color w:val="auto"/>
          <w:sz w:val="32"/>
          <w:szCs w:val="32"/>
          <w:highlight w:val="none"/>
          <w:shd w:val="clear" w:color="auto" w:fill="auto"/>
          <w:lang w:val="en-US" w:eastAsia="zh-CN"/>
        </w:rPr>
        <w:t>112.63</w:t>
      </w:r>
      <w:r>
        <w:rPr>
          <w:rFonts w:ascii="Times New Roman" w:hAnsi="Times New Roman" w:eastAsia="仿宋_GB2312" w:cs="Times New Roman"/>
          <w:color w:val="auto"/>
          <w:sz w:val="32"/>
          <w:szCs w:val="32"/>
          <w:highlight w:val="none"/>
          <w:shd w:val="clear" w:color="auto" w:fill="auto"/>
        </w:rPr>
        <w:t>%，</w:t>
      </w:r>
      <w:r>
        <w:rPr>
          <w:rFonts w:hint="eastAsia" w:ascii="Times New Roman" w:hAnsi="Times New Roman" w:eastAsia="仿宋_GB2312" w:cs="Times New Roman"/>
          <w:color w:val="auto"/>
          <w:sz w:val="32"/>
          <w:szCs w:val="32"/>
          <w:highlight w:val="none"/>
          <w:u w:val="none"/>
          <w:shd w:val="clear" w:color="auto" w:fill="auto"/>
          <w:lang w:eastAsia="zh-CN"/>
        </w:rPr>
        <w:t>决算数大于预算数的主要原因是：救助</w:t>
      </w:r>
      <w:r>
        <w:rPr>
          <w:rFonts w:hint="eastAsia" w:ascii="Times New Roman" w:hAnsi="Times New Roman" w:eastAsia="仿宋_GB2312" w:cs="Times New Roman"/>
          <w:color w:val="auto"/>
          <w:sz w:val="32"/>
          <w:szCs w:val="32"/>
          <w:highlight w:val="none"/>
          <w:u w:val="none"/>
          <w:shd w:val="clear" w:color="auto" w:fill="auto"/>
          <w:lang w:val="en-US" w:eastAsia="zh-CN"/>
        </w:rPr>
        <w:t>提标，发放一次性生活补贴导致决算数增加。</w:t>
      </w:r>
    </w:p>
    <w:p>
      <w:pPr>
        <w:pStyle w:val="15"/>
        <w:numPr>
          <w:ilvl w:val="0"/>
          <w:numId w:val="0"/>
        </w:numPr>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15、社会保障和就业（类）特困人员救助供养（款）农村特困人员救助供养支出（项）。</w:t>
      </w:r>
    </w:p>
    <w:p>
      <w:pPr>
        <w:pStyle w:val="15"/>
        <w:widowControl w:val="0"/>
        <w:numPr>
          <w:ilvl w:val="0"/>
          <w:numId w:val="0"/>
        </w:numPr>
        <w:overflowPunct w:val="0"/>
        <w:autoSpaceDE/>
        <w:autoSpaceDN/>
        <w:adjustRightInd w:val="0"/>
        <w:spacing w:line="600" w:lineRule="exact"/>
        <w:ind w:firstLine="640" w:firstLineChars="200"/>
        <w:jc w:val="both"/>
        <w:rPr>
          <w:rFonts w:hint="default" w:ascii="Times New Roman" w:hAnsi="Times New Roman" w:eastAsia="仿宋_GB2312" w:cs="Times New Roman"/>
          <w:color w:val="auto"/>
          <w:sz w:val="32"/>
          <w:szCs w:val="32"/>
          <w:highlight w:val="none"/>
          <w:shd w:val="clear" w:color="auto" w:fill="auto"/>
          <w:lang w:val="en-US"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u w:val="none"/>
          <w:shd w:val="clear" w:color="auto" w:fill="auto"/>
          <w:lang w:val="en-US" w:eastAsia="zh-CN"/>
        </w:rPr>
        <w:t>1225</w:t>
      </w:r>
      <w:r>
        <w:rPr>
          <w:rFonts w:ascii="Times New Roman" w:hAnsi="Times New Roman" w:eastAsia="仿宋_GB2312" w:cs="Times New Roman"/>
          <w:color w:val="auto"/>
          <w:sz w:val="32"/>
          <w:szCs w:val="32"/>
          <w:highlight w:val="none"/>
          <w:u w:val="none"/>
          <w:shd w:val="clear" w:color="auto" w:fill="auto"/>
        </w:rPr>
        <w:t>万元，支出决算为</w:t>
      </w:r>
      <w:r>
        <w:rPr>
          <w:rFonts w:hint="eastAsia" w:ascii="Times New Roman" w:hAnsi="Times New Roman" w:eastAsia="仿宋_GB2312" w:cs="Times New Roman"/>
          <w:color w:val="auto"/>
          <w:sz w:val="32"/>
          <w:szCs w:val="32"/>
          <w:highlight w:val="none"/>
          <w:u w:val="none"/>
          <w:shd w:val="clear" w:color="auto" w:fill="auto"/>
          <w:lang w:val="en-US" w:eastAsia="zh-CN"/>
        </w:rPr>
        <w:t>1760.94</w:t>
      </w:r>
      <w:r>
        <w:rPr>
          <w:rFonts w:ascii="Times New Roman" w:hAnsi="Times New Roman" w:eastAsia="仿宋_GB2312" w:cs="Times New Roman"/>
          <w:color w:val="auto"/>
          <w:sz w:val="32"/>
          <w:szCs w:val="32"/>
          <w:highlight w:val="none"/>
          <w:u w:val="none"/>
          <w:shd w:val="clear" w:color="auto" w:fill="auto"/>
        </w:rPr>
        <w:t>万元，</w:t>
      </w:r>
      <w:r>
        <w:rPr>
          <w:rFonts w:ascii="Times New Roman" w:hAnsi="Times New Roman" w:eastAsia="仿宋_GB2312" w:cs="Times New Roman"/>
          <w:color w:val="auto"/>
          <w:sz w:val="32"/>
          <w:szCs w:val="32"/>
          <w:highlight w:val="none"/>
          <w:shd w:val="clear" w:color="auto" w:fill="auto"/>
        </w:rPr>
        <w:t>完成年初预算的</w:t>
      </w:r>
      <w:r>
        <w:rPr>
          <w:rFonts w:hint="eastAsia" w:ascii="Times New Roman" w:hAnsi="Times New Roman" w:eastAsia="仿宋_GB2312" w:cs="Times New Roman"/>
          <w:color w:val="auto"/>
          <w:sz w:val="32"/>
          <w:szCs w:val="32"/>
          <w:highlight w:val="none"/>
          <w:shd w:val="clear" w:color="auto" w:fill="auto"/>
          <w:lang w:val="en-US" w:eastAsia="zh-CN"/>
        </w:rPr>
        <w:t>143.75</w:t>
      </w:r>
      <w:r>
        <w:rPr>
          <w:rFonts w:ascii="Times New Roman" w:hAnsi="Times New Roman" w:eastAsia="仿宋_GB2312" w:cs="Times New Roman"/>
          <w:color w:val="auto"/>
          <w:sz w:val="32"/>
          <w:szCs w:val="32"/>
          <w:highlight w:val="none"/>
          <w:shd w:val="clear" w:color="auto" w:fill="auto"/>
        </w:rPr>
        <w:t>%，</w:t>
      </w:r>
      <w:r>
        <w:rPr>
          <w:rFonts w:hint="eastAsia" w:ascii="Times New Roman" w:hAnsi="Times New Roman" w:eastAsia="仿宋_GB2312" w:cs="Times New Roman"/>
          <w:color w:val="auto"/>
          <w:sz w:val="32"/>
          <w:szCs w:val="32"/>
          <w:highlight w:val="none"/>
          <w:u w:val="none"/>
          <w:shd w:val="clear" w:color="auto" w:fill="auto"/>
          <w:lang w:eastAsia="zh-CN"/>
        </w:rPr>
        <w:t>决算数大于预算数的主要原因是：救助</w:t>
      </w:r>
      <w:r>
        <w:rPr>
          <w:rFonts w:hint="eastAsia" w:ascii="Times New Roman" w:hAnsi="Times New Roman" w:eastAsia="仿宋_GB2312" w:cs="Times New Roman"/>
          <w:color w:val="auto"/>
          <w:sz w:val="32"/>
          <w:szCs w:val="32"/>
          <w:highlight w:val="none"/>
          <w:u w:val="none"/>
          <w:shd w:val="clear" w:color="auto" w:fill="auto"/>
          <w:lang w:val="en-US" w:eastAsia="zh-CN"/>
        </w:rPr>
        <w:t>提标，发放一次性生活补贴导致决算数增加。</w:t>
      </w:r>
    </w:p>
    <w:p>
      <w:pPr>
        <w:pStyle w:val="15"/>
        <w:numPr>
          <w:ilvl w:val="0"/>
          <w:numId w:val="0"/>
        </w:numPr>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16、社会保障和就业（类）其他生活救助（款）其他农村生活救助（项）。</w:t>
      </w:r>
    </w:p>
    <w:p>
      <w:pPr>
        <w:pStyle w:val="15"/>
        <w:widowControl w:val="0"/>
        <w:numPr>
          <w:ilvl w:val="0"/>
          <w:numId w:val="0"/>
        </w:numPr>
        <w:overflowPunct w:val="0"/>
        <w:autoSpaceDE/>
        <w:autoSpaceDN/>
        <w:adjustRightInd w:val="0"/>
        <w:spacing w:line="600" w:lineRule="exact"/>
        <w:ind w:firstLine="640" w:firstLineChars="200"/>
        <w:jc w:val="both"/>
        <w:rPr>
          <w:rFonts w:hint="default" w:ascii="Times New Roman" w:hAnsi="Times New Roman" w:eastAsia="仿宋_GB2312" w:cs="Times New Roman"/>
          <w:color w:val="auto"/>
          <w:sz w:val="32"/>
          <w:szCs w:val="32"/>
          <w:highlight w:val="none"/>
          <w:shd w:val="clear" w:color="auto" w:fill="auto"/>
          <w:lang w:val="en-US"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u w:val="none"/>
          <w:shd w:val="clear" w:color="auto" w:fill="auto"/>
          <w:lang w:val="en-US" w:eastAsia="zh-CN"/>
        </w:rPr>
        <w:t>0</w:t>
      </w:r>
      <w:r>
        <w:rPr>
          <w:rFonts w:ascii="Times New Roman" w:hAnsi="Times New Roman" w:eastAsia="仿宋_GB2312" w:cs="Times New Roman"/>
          <w:color w:val="auto"/>
          <w:sz w:val="32"/>
          <w:szCs w:val="32"/>
          <w:highlight w:val="none"/>
          <w:u w:val="none"/>
          <w:shd w:val="clear" w:color="auto" w:fill="auto"/>
        </w:rPr>
        <w:t>万元，支出决算为</w:t>
      </w:r>
      <w:r>
        <w:rPr>
          <w:rFonts w:hint="eastAsia" w:ascii="Times New Roman" w:hAnsi="Times New Roman" w:eastAsia="仿宋_GB2312" w:cs="Times New Roman"/>
          <w:color w:val="auto"/>
          <w:sz w:val="32"/>
          <w:szCs w:val="32"/>
          <w:highlight w:val="none"/>
          <w:u w:val="none"/>
          <w:shd w:val="clear" w:color="auto" w:fill="auto"/>
          <w:lang w:val="en-US" w:eastAsia="zh-CN"/>
        </w:rPr>
        <w:t>13</w:t>
      </w:r>
      <w:r>
        <w:rPr>
          <w:rFonts w:ascii="Times New Roman" w:hAnsi="Times New Roman" w:eastAsia="仿宋_GB2312" w:cs="Times New Roman"/>
          <w:color w:val="auto"/>
          <w:sz w:val="32"/>
          <w:szCs w:val="32"/>
          <w:highlight w:val="none"/>
          <w:u w:val="none"/>
          <w:shd w:val="clear" w:color="auto" w:fill="auto"/>
        </w:rPr>
        <w:t>万元，</w:t>
      </w:r>
      <w:r>
        <w:rPr>
          <w:rFonts w:ascii="Times New Roman" w:hAnsi="Times New Roman" w:eastAsia="仿宋_GB2312" w:cs="Times New Roman"/>
          <w:color w:val="auto"/>
          <w:sz w:val="32"/>
          <w:szCs w:val="32"/>
          <w:highlight w:val="none"/>
          <w:shd w:val="clear" w:color="auto" w:fill="auto"/>
        </w:rPr>
        <w:t>完成年初预算的</w:t>
      </w:r>
      <w:r>
        <w:rPr>
          <w:rFonts w:hint="eastAsia" w:ascii="Times New Roman" w:hAnsi="Times New Roman" w:eastAsia="仿宋_GB2312" w:cs="Times New Roman"/>
          <w:color w:val="auto"/>
          <w:sz w:val="32"/>
          <w:szCs w:val="32"/>
          <w:highlight w:val="none"/>
          <w:shd w:val="clear" w:color="auto" w:fill="auto"/>
          <w:lang w:val="en-US" w:eastAsia="zh-CN"/>
        </w:rPr>
        <w:t>0</w:t>
      </w:r>
      <w:r>
        <w:rPr>
          <w:rFonts w:ascii="Times New Roman" w:hAnsi="Times New Roman" w:eastAsia="仿宋_GB2312" w:cs="Times New Roman"/>
          <w:color w:val="auto"/>
          <w:sz w:val="32"/>
          <w:szCs w:val="32"/>
          <w:highlight w:val="none"/>
          <w:shd w:val="clear" w:color="auto" w:fill="auto"/>
        </w:rPr>
        <w:t>%，</w:t>
      </w:r>
      <w:r>
        <w:rPr>
          <w:rFonts w:hint="eastAsia" w:ascii="Times New Roman" w:hAnsi="Times New Roman" w:eastAsia="仿宋_GB2312" w:cs="Times New Roman"/>
          <w:color w:val="auto"/>
          <w:sz w:val="32"/>
          <w:szCs w:val="32"/>
          <w:highlight w:val="none"/>
          <w:u w:val="none"/>
          <w:shd w:val="clear" w:color="auto" w:fill="auto"/>
          <w:lang w:eastAsia="zh-CN"/>
        </w:rPr>
        <w:t>决算数大于预算数的主要原因是：年初未做预算。</w:t>
      </w:r>
    </w:p>
    <w:p>
      <w:pPr>
        <w:pStyle w:val="15"/>
        <w:numPr>
          <w:ilvl w:val="0"/>
          <w:numId w:val="0"/>
        </w:numPr>
        <w:spacing w:line="600" w:lineRule="exact"/>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17、社会保障和就业（类）其他社会保障和就业支出（款）其他社会保障和就业支出（项）。</w:t>
      </w:r>
    </w:p>
    <w:p>
      <w:pPr>
        <w:pStyle w:val="15"/>
        <w:widowControl w:val="0"/>
        <w:numPr>
          <w:ilvl w:val="0"/>
          <w:numId w:val="0"/>
        </w:numPr>
        <w:tabs>
          <w:tab w:val="left" w:pos="4830"/>
        </w:tabs>
        <w:overflowPunct w:val="0"/>
        <w:autoSpaceDE/>
        <w:autoSpaceDN/>
        <w:adjustRightInd w:val="0"/>
        <w:spacing w:line="600" w:lineRule="exact"/>
        <w:ind w:firstLine="640" w:firstLineChars="200"/>
        <w:jc w:val="both"/>
        <w:rPr>
          <w:rFonts w:hint="default" w:ascii="Times New Roman" w:hAnsi="Times New Roman" w:eastAsia="仿宋_GB2312" w:cs="Times New Roman"/>
          <w:color w:val="auto"/>
          <w:sz w:val="32"/>
          <w:szCs w:val="32"/>
          <w:highlight w:val="none"/>
          <w:shd w:val="clear" w:color="auto" w:fill="auto"/>
          <w:lang w:val="en-US" w:eastAsia="zh-CN"/>
        </w:rPr>
      </w:pPr>
      <w:r>
        <w:rPr>
          <w:rFonts w:ascii="Times New Roman" w:hAnsi="Times New Roman" w:eastAsia="仿宋_GB2312" w:cs="Times New Roman"/>
          <w:color w:val="auto"/>
          <w:sz w:val="32"/>
          <w:szCs w:val="32"/>
          <w:highlight w:val="none"/>
          <w:shd w:val="clear" w:color="auto" w:fill="auto"/>
        </w:rPr>
        <w:t>年初预算为</w:t>
      </w:r>
      <w:r>
        <w:rPr>
          <w:rFonts w:hint="eastAsia" w:ascii="Times New Roman" w:hAnsi="Times New Roman" w:eastAsia="仿宋_GB2312" w:cs="Times New Roman"/>
          <w:color w:val="auto"/>
          <w:sz w:val="32"/>
          <w:szCs w:val="32"/>
          <w:highlight w:val="none"/>
          <w:u w:val="none"/>
          <w:shd w:val="clear" w:color="auto" w:fill="auto"/>
          <w:lang w:val="en-US" w:eastAsia="zh-CN"/>
        </w:rPr>
        <w:t>9.84</w:t>
      </w:r>
      <w:r>
        <w:rPr>
          <w:rFonts w:ascii="Times New Roman" w:hAnsi="Times New Roman" w:eastAsia="仿宋_GB2312" w:cs="Times New Roman"/>
          <w:color w:val="auto"/>
          <w:sz w:val="32"/>
          <w:szCs w:val="32"/>
          <w:highlight w:val="none"/>
          <w:u w:val="none"/>
          <w:shd w:val="clear" w:color="auto" w:fill="auto"/>
        </w:rPr>
        <w:t>万元，支出决算为</w:t>
      </w:r>
      <w:r>
        <w:rPr>
          <w:rFonts w:hint="eastAsia" w:ascii="Times New Roman" w:hAnsi="Times New Roman" w:eastAsia="仿宋_GB2312" w:cs="Times New Roman"/>
          <w:color w:val="auto"/>
          <w:sz w:val="32"/>
          <w:szCs w:val="32"/>
          <w:highlight w:val="none"/>
          <w:u w:val="none"/>
          <w:shd w:val="clear" w:color="auto" w:fill="auto"/>
          <w:lang w:val="en-US" w:eastAsia="zh-CN"/>
        </w:rPr>
        <w:t>12.25</w:t>
      </w:r>
      <w:r>
        <w:rPr>
          <w:rFonts w:ascii="Times New Roman" w:hAnsi="Times New Roman" w:eastAsia="仿宋_GB2312" w:cs="Times New Roman"/>
          <w:color w:val="auto"/>
          <w:sz w:val="32"/>
          <w:szCs w:val="32"/>
          <w:highlight w:val="none"/>
          <w:u w:val="none"/>
          <w:shd w:val="clear" w:color="auto" w:fill="auto"/>
        </w:rPr>
        <w:t>万元，</w:t>
      </w:r>
      <w:r>
        <w:rPr>
          <w:rFonts w:ascii="Times New Roman" w:hAnsi="Times New Roman" w:eastAsia="仿宋_GB2312" w:cs="Times New Roman"/>
          <w:color w:val="auto"/>
          <w:sz w:val="32"/>
          <w:szCs w:val="32"/>
          <w:highlight w:val="none"/>
          <w:shd w:val="clear" w:color="auto" w:fill="auto"/>
        </w:rPr>
        <w:t>完成年初预算的</w:t>
      </w:r>
      <w:r>
        <w:rPr>
          <w:rFonts w:hint="eastAsia" w:ascii="Times New Roman" w:hAnsi="Times New Roman" w:eastAsia="仿宋_GB2312" w:cs="Times New Roman"/>
          <w:color w:val="auto"/>
          <w:sz w:val="32"/>
          <w:szCs w:val="32"/>
          <w:highlight w:val="none"/>
          <w:shd w:val="clear" w:color="auto" w:fill="auto"/>
          <w:lang w:val="en-US" w:eastAsia="zh-CN"/>
        </w:rPr>
        <w:t>124.49</w:t>
      </w:r>
      <w:r>
        <w:rPr>
          <w:rFonts w:ascii="Times New Roman" w:hAnsi="Times New Roman" w:eastAsia="仿宋_GB2312" w:cs="Times New Roman"/>
          <w:color w:val="auto"/>
          <w:sz w:val="32"/>
          <w:szCs w:val="32"/>
          <w:highlight w:val="none"/>
          <w:shd w:val="clear" w:color="auto" w:fill="auto"/>
        </w:rPr>
        <w:t>%，</w:t>
      </w:r>
      <w:r>
        <w:rPr>
          <w:rFonts w:hint="eastAsia" w:ascii="Times New Roman" w:hAnsi="Times New Roman" w:eastAsia="仿宋_GB2312" w:cs="Times New Roman"/>
          <w:color w:val="auto"/>
          <w:sz w:val="32"/>
          <w:szCs w:val="32"/>
          <w:highlight w:val="none"/>
          <w:u w:val="none"/>
          <w:shd w:val="clear" w:color="auto" w:fill="auto"/>
          <w:lang w:eastAsia="zh-CN"/>
        </w:rPr>
        <w:t>决算数大于预算数的主要原因是：年初预算做少了。</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965.3</w:t>
      </w:r>
      <w:r>
        <w:rPr>
          <w:rFonts w:ascii="Times New Roman" w:hAnsi="Times New Roman" w:eastAsia="仿宋_GB2312" w:cs="Times New Roman"/>
          <w:sz w:val="32"/>
          <w:szCs w:val="32"/>
        </w:rPr>
        <w:t>万元，其中：</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896.56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92.88</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、绩效工资、机关事业单位基本养老保险缴费、职工基本医疗保险缴费、抚恤金、生活补助等</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68.75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7.12</w:t>
      </w:r>
      <w:r>
        <w:rPr>
          <w:rFonts w:ascii="Times New Roman" w:hAnsi="Times New Roman" w:eastAsia="仿宋_GB2312" w:cs="Times New Roman"/>
          <w:sz w:val="32"/>
          <w:szCs w:val="32"/>
        </w:rPr>
        <w:t>%，主要包括办公费、印刷费、</w:t>
      </w:r>
      <w:r>
        <w:rPr>
          <w:rFonts w:hint="eastAsia" w:ascii="Times New Roman" w:hAnsi="Times New Roman" w:eastAsia="仿宋_GB2312" w:cs="Times New Roman"/>
          <w:sz w:val="32"/>
          <w:szCs w:val="32"/>
          <w:lang w:eastAsia="zh-CN"/>
        </w:rPr>
        <w:t>水电费、差旅费、公务接待费、工会经费、其他交通费用等</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16.38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31.75</w:t>
      </w:r>
      <w:r>
        <w:rPr>
          <w:rFonts w:ascii="Times New Roman" w:hAnsi="Times New Roman" w:eastAsia="仿宋_GB2312" w:cs="Times New Roman"/>
          <w:sz w:val="32"/>
          <w:szCs w:val="32"/>
        </w:rPr>
        <w:t>%；与上年相比</w:t>
      </w:r>
      <w:r>
        <w:rPr>
          <w:rFonts w:hint="eastAsia" w:ascii="Times New Roman" w:hAnsi="Times New Roman" w:eastAsia="仿宋_GB2312" w:cs="Times New Roman"/>
          <w:color w:val="auto"/>
          <w:sz w:val="32"/>
          <w:szCs w:val="32"/>
          <w:u w:val="none"/>
          <w:lang w:val="en-US" w:eastAsia="zh-CN"/>
        </w:rPr>
        <w:t>减少0.89万元，减少14.61%</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我单位</w:t>
      </w:r>
      <w:r>
        <w:rPr>
          <w:rFonts w:hint="eastAsia" w:ascii="Times New Roman" w:hAnsi="Times New Roman" w:eastAsia="仿宋_GB2312" w:cs="Times New Roman"/>
          <w:color w:val="auto"/>
          <w:sz w:val="32"/>
          <w:szCs w:val="32"/>
          <w:u w:val="none"/>
          <w:lang w:eastAsia="zh-CN"/>
        </w:rPr>
        <w:t>本年度未发生公车运行维护费支出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我单位</w:t>
      </w:r>
      <w:r>
        <w:rPr>
          <w:rFonts w:hint="eastAsia" w:ascii="Times New Roman" w:hAnsi="Times New Roman" w:eastAsia="仿宋_GB2312" w:cs="Times New Roman"/>
          <w:color w:val="auto"/>
          <w:sz w:val="32"/>
          <w:szCs w:val="32"/>
          <w:u w:val="none"/>
          <w:lang w:eastAsia="zh-CN"/>
        </w:rPr>
        <w:t>本年度未发生公车运行维护费支出</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6.48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我单位</w:t>
      </w:r>
      <w:r>
        <w:rPr>
          <w:rFonts w:hint="eastAsia" w:ascii="Times New Roman" w:hAnsi="Times New Roman" w:eastAsia="仿宋_GB2312" w:cs="Times New Roman"/>
          <w:color w:val="auto"/>
          <w:sz w:val="32"/>
          <w:szCs w:val="32"/>
          <w:u w:val="none"/>
          <w:lang w:eastAsia="zh-CN"/>
        </w:rPr>
        <w:t>本年度未发生公车运行维护费支出，主要因为单位两台公车经局机关分配，由我单位二级机构湘江源敬老院和福利院使用，所以公车运行维护费由两个院负责，未到局机关报账。</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6.48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我单位</w:t>
      </w:r>
      <w:r>
        <w:rPr>
          <w:rFonts w:hint="eastAsia" w:ascii="Times New Roman" w:hAnsi="Times New Roman" w:eastAsia="仿宋_GB2312" w:cs="Times New Roman"/>
          <w:color w:val="auto"/>
          <w:sz w:val="32"/>
          <w:szCs w:val="32"/>
          <w:u w:val="none"/>
          <w:lang w:eastAsia="zh-CN"/>
        </w:rPr>
        <w:t>本年度未发生公车运行维护费支出，主要因为单位两台公车经局机关分配，由我单位二级机构湘江源敬老院和福利院使用，所以公车运行维护费由两个院负责，未到局机关报账。</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辆。</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9.9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52.53</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1.11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27.14</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w:t>
      </w:r>
      <w:r>
        <w:rPr>
          <w:rFonts w:ascii="Times New Roman" w:hAnsi="Times New Roman" w:eastAsia="仿宋_GB2312" w:cs="Times New Roman"/>
          <w:sz w:val="32"/>
          <w:szCs w:val="32"/>
        </w:rPr>
        <w:t>于预算数的主要原因是</w:t>
      </w:r>
      <w:r>
        <w:rPr>
          <w:rFonts w:hint="eastAsia" w:ascii="Times New Roman" w:hAnsi="Times New Roman" w:eastAsia="仿宋_GB2312" w:cs="Times New Roman"/>
          <w:sz w:val="32"/>
          <w:szCs w:val="32"/>
          <w:lang w:eastAsia="zh-CN"/>
        </w:rPr>
        <w:t>本年度预算过高</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eastAsia="zh-CN"/>
        </w:rPr>
        <w:t>本年度接待增加</w:t>
      </w:r>
      <w:r>
        <w:rPr>
          <w:rFonts w:ascii="Times New Roman" w:hAnsi="Times New Roman" w:eastAsia="仿宋_GB2312" w:cs="Times New Roman"/>
          <w:sz w:val="32"/>
          <w:szCs w:val="32"/>
        </w:rPr>
        <w:t>。2024年度共</w:t>
      </w:r>
      <w:r>
        <w:rPr>
          <w:rFonts w:ascii="Times New Roman" w:hAnsi="Times New Roman" w:eastAsia="仿宋_GB2312" w:cs="Times New Roman"/>
          <w:color w:val="auto"/>
          <w:sz w:val="32"/>
          <w:szCs w:val="32"/>
          <w:u w:val="none"/>
        </w:rPr>
        <w:t>接待来访团组</w:t>
      </w:r>
      <w:r>
        <w:rPr>
          <w:rFonts w:hint="eastAsia" w:ascii="Times New Roman" w:hAnsi="Times New Roman" w:eastAsia="仿宋_GB2312" w:cs="Times New Roman"/>
          <w:color w:val="auto"/>
          <w:sz w:val="32"/>
          <w:szCs w:val="32"/>
          <w:u w:val="none"/>
          <w:lang w:val="en-US" w:eastAsia="zh-CN"/>
        </w:rPr>
        <w:t>78</w:t>
      </w:r>
      <w:r>
        <w:rPr>
          <w:rFonts w:ascii="Times New Roman" w:hAnsi="Times New Roman" w:eastAsia="仿宋_GB2312" w:cs="Times New Roman"/>
          <w:color w:val="auto"/>
          <w:sz w:val="32"/>
          <w:szCs w:val="32"/>
          <w:u w:val="none"/>
        </w:rPr>
        <w:t>个、来宾</w:t>
      </w:r>
      <w:r>
        <w:rPr>
          <w:rFonts w:hint="eastAsia" w:ascii="Times New Roman" w:hAnsi="Times New Roman" w:eastAsia="仿宋_GB2312" w:cs="Times New Roman"/>
          <w:color w:val="auto"/>
          <w:sz w:val="32"/>
          <w:szCs w:val="32"/>
          <w:u w:val="none"/>
          <w:lang w:val="en-US" w:eastAsia="zh-CN"/>
        </w:rPr>
        <w:t>635</w:t>
      </w:r>
      <w:r>
        <w:rPr>
          <w:rFonts w:ascii="Times New Roman" w:hAnsi="Times New Roman" w:eastAsia="仿宋_GB2312" w:cs="Times New Roman"/>
          <w:color w:val="auto"/>
          <w:sz w:val="32"/>
          <w:szCs w:val="32"/>
          <w:u w:val="none"/>
        </w:rPr>
        <w:t>人次，主要是</w:t>
      </w:r>
      <w:r>
        <w:rPr>
          <w:rFonts w:hint="eastAsia" w:ascii="Times New Roman" w:hAnsi="Times New Roman" w:eastAsia="仿宋_GB2312" w:cs="Times New Roman"/>
          <w:color w:val="auto"/>
          <w:sz w:val="32"/>
          <w:szCs w:val="32"/>
          <w:u w:val="none"/>
          <w:lang w:eastAsia="zh-CN"/>
        </w:rPr>
        <w:t>民政系统各项业务学习、交流，乡镇汇报工作等</w:t>
      </w:r>
      <w:r>
        <w:rPr>
          <w:rFonts w:ascii="Times New Roman" w:hAnsi="Times New Roman" w:eastAsia="仿宋_GB2312" w:cs="Times New Roman"/>
          <w:color w:val="auto"/>
          <w:sz w:val="32"/>
          <w:szCs w:val="32"/>
          <w:u w:val="none"/>
        </w:rPr>
        <w:t>发生的接待支出。</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1655.81</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1655.81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1655.81</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其他支出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其他政府性基金及对应专项债务收入安排的支出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其他地方自行试点项目收益专项债券收入安排的支出</w:t>
      </w:r>
      <w:r>
        <w:rPr>
          <w:rFonts w:ascii="Times New Roman" w:hAnsi="Times New Roman" w:eastAsia="仿宋_GB2312" w:cs="Times New Roman"/>
          <w:sz w:val="32"/>
          <w:szCs w:val="32"/>
        </w:rPr>
        <w:t>（项）。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1492.56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年初未做预算，无法计算百分比</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年初未做预算</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彩票公益金安排的支出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用于社会福利的彩票公益金支出</w:t>
      </w:r>
      <w:r>
        <w:rPr>
          <w:rFonts w:ascii="Times New Roman" w:hAnsi="Times New Roman" w:eastAsia="仿宋_GB2312" w:cs="Times New Roman"/>
          <w:sz w:val="32"/>
          <w:szCs w:val="32"/>
        </w:rPr>
        <w:t>（项）。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163.25</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u w:val="none"/>
        </w:rPr>
        <w:t>完成年初预算的</w:t>
      </w:r>
      <w:r>
        <w:rPr>
          <w:rFonts w:hint="eastAsia" w:ascii="Times New Roman" w:hAnsi="Times New Roman" w:eastAsia="仿宋_GB2312" w:cs="Times New Roman"/>
          <w:color w:val="auto"/>
          <w:sz w:val="32"/>
          <w:szCs w:val="32"/>
          <w:u w:val="none"/>
          <w:lang w:val="en-US" w:eastAsia="zh-CN"/>
        </w:rPr>
        <w:t>81.63</w:t>
      </w:r>
      <w:r>
        <w:rPr>
          <w:rFonts w:ascii="Times New Roman" w:hAnsi="Times New Roman" w:eastAsia="仿宋_GB2312" w:cs="Times New Roman"/>
          <w:color w:val="auto"/>
          <w:sz w:val="32"/>
          <w:szCs w:val="32"/>
          <w:u w:val="none"/>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eastAsia="zh-CN"/>
        </w:rPr>
        <w:t>支出减少。</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pPr>
        <w:spacing w:line="600" w:lineRule="exact"/>
        <w:ind w:firstLine="640" w:firstLineChars="200"/>
        <w:rPr>
          <w:rFonts w:hint="eastAsia" w:eastAsia="仿宋_GB2312"/>
          <w:lang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68.75</w:t>
      </w:r>
      <w:r>
        <w:rPr>
          <w:rFonts w:ascii="Times New Roman" w:hAnsi="Times New Roman" w:eastAsia="仿宋_GB2312" w:cs="Times New Roman"/>
          <w:sz w:val="32"/>
          <w:szCs w:val="32"/>
        </w:rPr>
        <w:t>万元，比年初预算数减少</w:t>
      </w:r>
      <w:r>
        <w:rPr>
          <w:rFonts w:hint="eastAsia" w:ascii="Times New Roman" w:hAnsi="Times New Roman" w:eastAsia="仿宋_GB2312" w:cs="Times New Roman"/>
          <w:sz w:val="32"/>
          <w:szCs w:val="32"/>
          <w:lang w:val="en-US" w:eastAsia="zh-CN"/>
        </w:rPr>
        <w:t>34.6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33.48</w:t>
      </w:r>
      <w:r>
        <w:rPr>
          <w:rFonts w:ascii="Times New Roman" w:hAnsi="Times New Roman" w:eastAsia="仿宋_GB2312" w:cs="Times New Roman"/>
          <w:sz w:val="32"/>
          <w:szCs w:val="32"/>
        </w:rPr>
        <w:t>%。主要原因是：</w:t>
      </w:r>
      <w:r>
        <w:rPr>
          <w:rFonts w:hint="eastAsia" w:eastAsia="仿宋_GB2312"/>
          <w:kern w:val="0"/>
          <w:sz w:val="32"/>
          <w:szCs w:val="32"/>
          <w:u w:val="none"/>
          <w:lang w:eastAsia="zh-CN"/>
        </w:rPr>
        <w:t>职工部分保险支出及伙食费支出实际为公用经费支出，但账务处理时列入工资福利支出，所以在做决算报表时这部分支出为人员</w:t>
      </w:r>
      <w:r>
        <w:rPr>
          <w:rFonts w:hint="eastAsia" w:eastAsia="仿宋_GB2312"/>
          <w:kern w:val="0"/>
          <w:sz w:val="32"/>
          <w:szCs w:val="32"/>
          <w:lang w:eastAsia="zh-CN"/>
        </w:rPr>
        <w:t>经费支出，导致机关运行经费金额减少。</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pPr>
        <w:widowControl/>
        <w:spacing w:line="600" w:lineRule="exact"/>
        <w:ind w:firstLine="660"/>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w:t>
      </w:r>
      <w:r>
        <w:rPr>
          <w:rFonts w:hint="eastAsia" w:ascii="Times New Roman" w:hAnsi="Times New Roman" w:eastAsia="仿宋_GB2312" w:cs="Times New Roman"/>
          <w:sz w:val="32"/>
          <w:szCs w:val="32"/>
          <w:lang w:eastAsia="zh-CN"/>
        </w:rPr>
        <w:t>未</w:t>
      </w:r>
      <w:r>
        <w:rPr>
          <w:rFonts w:ascii="Times New Roman" w:hAnsi="Times New Roman" w:eastAsia="仿宋_GB2312" w:cs="Times New Roman"/>
          <w:sz w:val="32"/>
          <w:szCs w:val="32"/>
        </w:rPr>
        <w:t>开支会议费；开支培训费</w:t>
      </w:r>
      <w:r>
        <w:rPr>
          <w:rFonts w:hint="eastAsia" w:ascii="Times New Roman" w:hAnsi="Times New Roman" w:eastAsia="仿宋_GB2312" w:cs="Times New Roman"/>
          <w:sz w:val="32"/>
          <w:szCs w:val="32"/>
          <w:lang w:val="en-US" w:eastAsia="zh-CN"/>
        </w:rPr>
        <w:t>1.38</w:t>
      </w:r>
      <w:r>
        <w:rPr>
          <w:rFonts w:ascii="Times New Roman" w:hAnsi="Times New Roman" w:eastAsia="仿宋_GB2312" w:cs="Times New Roman"/>
          <w:sz w:val="32"/>
          <w:szCs w:val="32"/>
        </w:rPr>
        <w:t>万元，用于开展</w:t>
      </w:r>
      <w:r>
        <w:rPr>
          <w:rFonts w:hint="eastAsia" w:eastAsia="仿宋_GB2312"/>
          <w:sz w:val="32"/>
          <w:szCs w:val="32"/>
          <w:u w:val="none"/>
          <w:lang w:eastAsia="zh-CN"/>
        </w:rPr>
        <w:t>事业单位工作人员继续教育</w:t>
      </w:r>
      <w:r>
        <w:rPr>
          <w:rFonts w:eastAsia="仿宋_GB2312"/>
          <w:kern w:val="0"/>
          <w:sz w:val="32"/>
          <w:szCs w:val="32"/>
          <w:u w:val="none"/>
        </w:rPr>
        <w:t>培训，人数</w:t>
      </w:r>
      <w:r>
        <w:rPr>
          <w:rFonts w:hint="eastAsia" w:eastAsia="仿宋_GB2312"/>
          <w:sz w:val="32"/>
          <w:szCs w:val="32"/>
          <w:u w:val="none"/>
          <w:lang w:val="en-US" w:eastAsia="zh-CN"/>
        </w:rPr>
        <w:t>72</w:t>
      </w:r>
      <w:r>
        <w:rPr>
          <w:rFonts w:eastAsia="仿宋_GB2312"/>
          <w:kern w:val="0"/>
          <w:sz w:val="32"/>
          <w:szCs w:val="32"/>
        </w:rPr>
        <w:t>人，内容为</w:t>
      </w:r>
      <w:r>
        <w:rPr>
          <w:rFonts w:hint="eastAsia" w:eastAsia="仿宋_GB2312"/>
          <w:sz w:val="32"/>
          <w:szCs w:val="32"/>
          <w:u w:val="none"/>
          <w:lang w:eastAsia="zh-CN"/>
        </w:rPr>
        <w:t>事业单位工作人员继续教育</w:t>
      </w:r>
      <w:r>
        <w:rPr>
          <w:rFonts w:eastAsia="仿宋_GB2312"/>
          <w:kern w:val="0"/>
          <w:sz w:val="32"/>
          <w:szCs w:val="32"/>
          <w:u w:val="none"/>
        </w:rPr>
        <w:t>培训</w:t>
      </w:r>
      <w:r>
        <w:rPr>
          <w:rFonts w:eastAsia="仿宋_GB2312"/>
          <w:kern w:val="0"/>
          <w:sz w:val="32"/>
          <w:szCs w:val="32"/>
        </w:rPr>
        <w:t>。</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287.97</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64.2</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19.9</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203.87</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213.92</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74.29</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174.58</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81.61</w:t>
      </w:r>
      <w:r>
        <w:rPr>
          <w:rFonts w:ascii="Times New Roman" w:hAnsi="Times New Roman" w:eastAsia="仿宋_GB2312" w:cs="Times New Roman"/>
          <w:color w:val="auto"/>
          <w:sz w:val="32"/>
          <w:szCs w:val="32"/>
        </w:rPr>
        <w:t>%。</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eastAsia="zh-CN"/>
        </w:rPr>
        <w:t>公务用车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1672.72</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1672.72</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pPr>
        <w:pStyle w:val="10"/>
        <w:keepNext w:val="0"/>
        <w:keepLines w:val="0"/>
        <w:pageBreakBefore w:val="0"/>
        <w:widowControl/>
        <w:numPr>
          <w:ilvl w:val="0"/>
          <w:numId w:val="2"/>
        </w:numPr>
        <w:suppressLineNumbers w:val="0"/>
        <w:kinsoku/>
        <w:wordWrap/>
        <w:overflowPunct/>
        <w:topLinePunct w:val="0"/>
        <w:autoSpaceDE/>
        <w:autoSpaceDN/>
        <w:bidi w:val="0"/>
        <w:adjustRightInd/>
        <w:spacing w:before="0" w:beforeLines="0" w:beforeAutospacing="0" w:after="0" w:afterLines="0" w:afterAutospacing="0" w:line="600" w:lineRule="exact"/>
        <w:ind w:right="0" w:rightChars="0" w:firstLine="640" w:firstLineChars="200"/>
        <w:jc w:val="both"/>
        <w:textAlignment w:val="auto"/>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9660.69</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9660.69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97.87</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”。绩效目标完成情况：一是</w:t>
      </w:r>
      <w:r>
        <w:rPr>
          <w:rFonts w:hint="eastAsia" w:ascii="仿宋_GB2312" w:hAnsi="仿宋_GB2312" w:eastAsia="仿宋_GB2312" w:cs="仿宋_GB2312"/>
          <w:b w:val="0"/>
          <w:bCs w:val="0"/>
          <w:sz w:val="32"/>
          <w:szCs w:val="32"/>
          <w:lang w:val="en-US" w:eastAsia="zh-CN"/>
        </w:rPr>
        <w:t>各相关业务股室对绩效评价工作的重要性认识有待进一步提高。</w:t>
      </w:r>
      <w:r>
        <w:rPr>
          <w:rFonts w:ascii="Times New Roman" w:hAnsi="Times New Roman" w:eastAsia="仿宋_GB2312" w:cs="Times New Roman"/>
          <w:sz w:val="32"/>
          <w:szCs w:val="32"/>
        </w:rPr>
        <w:t>；二是</w:t>
      </w:r>
      <w:r>
        <w:rPr>
          <w:rFonts w:hint="eastAsia" w:ascii="仿宋_GB2312" w:hAnsi="仿宋_GB2312" w:eastAsia="仿宋_GB2312" w:cs="仿宋_GB2312"/>
          <w:b w:val="0"/>
          <w:bCs w:val="0"/>
          <w:sz w:val="32"/>
          <w:szCs w:val="32"/>
          <w:lang w:val="en-US" w:eastAsia="zh-CN"/>
        </w:rPr>
        <w:t>绩效目标设置有待科学提高</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eastAsia="zh-CN"/>
        </w:rPr>
        <w:t>一是</w:t>
      </w:r>
      <w:r>
        <w:rPr>
          <w:rFonts w:hint="eastAsia" w:ascii="仿宋_GB2312" w:hAnsi="仿宋_GB2312" w:eastAsia="仿宋_GB2312" w:cs="仿宋_GB2312"/>
          <w:b w:val="0"/>
          <w:bCs w:val="0"/>
          <w:sz w:val="32"/>
          <w:szCs w:val="32"/>
          <w:lang w:val="en-US" w:eastAsia="zh-CN"/>
        </w:rPr>
        <w:t>加强财务人员的学习培训，加强单位财务人员新《预算法》《政府会计准则》和《政府会计制度》等相关方面的业务培训学习，规范部门预算收支核算，增强预算的约束力和严肃性，切实提高部门预算收支管理水平；二是继续抓好三公经费控制管理。进一步细化三公经费的管理，合理压缩三公经费支出；三是加强项目开展进度的跟踪，督促各业务股室及时开展项目绩效评价，确保项目绩效目标的完成。</w:t>
      </w:r>
    </w:p>
    <w:p>
      <w:pPr>
        <w:pStyle w:val="15"/>
        <w:overflowPunct w:val="0"/>
        <w:autoSpaceDE/>
        <w:autoSpaceDN/>
        <w:spacing w:line="600" w:lineRule="exact"/>
        <w:ind w:firstLine="640" w:firstLineChars="200"/>
        <w:jc w:val="both"/>
        <w:rPr>
          <w:rFonts w:ascii="Times New Roman" w:hAnsi="Times New Roman" w:cs="Times New Roman"/>
          <w:sz w:val="72"/>
          <w:szCs w:val="72"/>
        </w:rPr>
      </w:pPr>
      <w:r>
        <w:rPr>
          <w:rFonts w:ascii="Times New Roman" w:hAnsi="Times New Roman" w:eastAsia="楷体_GB2312" w:cs="Times New Roman"/>
          <w:b/>
          <w:bCs/>
          <w:color w:val="auto"/>
          <w:kern w:val="2"/>
          <w:sz w:val="32"/>
          <w:szCs w:val="32"/>
        </w:rPr>
        <w:t>（三）评价结果应用情况。</w:t>
      </w:r>
      <w:r>
        <w:rPr>
          <w:rFonts w:ascii="Times New Roman" w:hAnsi="Times New Roman" w:eastAsia="仿宋_GB2312" w:cs="Times New Roman"/>
          <w:color w:val="auto"/>
          <w:sz w:val="32"/>
          <w:szCs w:val="32"/>
        </w:rPr>
        <w:t>请根据2024年度绩效自评结果、部门评价结果、财政评价结果对本部门2025年度预算安排，支出结构调整，资金管理，制度建设等方面结果运用进行简要说明。</w:t>
      </w:r>
    </w:p>
    <w:p>
      <w:pPr>
        <w:pStyle w:val="15"/>
        <w:spacing w:line="360" w:lineRule="auto"/>
        <w:jc w:val="center"/>
        <w:rPr>
          <w:rFonts w:ascii="Times New Roman" w:hAnsi="Times New Roman" w:eastAsia="方正小标宋_GBK" w:cs="Times New Roman"/>
          <w:sz w:val="52"/>
          <w:szCs w:val="5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widowControl/>
        <w:spacing w:line="600" w:lineRule="exact"/>
        <w:ind w:firstLine="660"/>
        <w:rPr>
          <w:rFonts w:eastAsia="仿宋_GB2312"/>
          <w:sz w:val="32"/>
          <w:szCs w:val="32"/>
        </w:rPr>
      </w:pPr>
      <w:r>
        <w:rPr>
          <w:rFonts w:eastAsia="仿宋_GB2312"/>
          <w:sz w:val="32"/>
          <w:szCs w:val="32"/>
        </w:rPr>
        <w:t>1、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pPr>
        <w:widowControl/>
        <w:spacing w:line="600" w:lineRule="exact"/>
        <w:ind w:firstLine="660"/>
        <w:rPr>
          <w:rFonts w:hint="eastAsia" w:ascii="宋体" w:hAnsi="宋体" w:eastAsia="仿宋_GB2312" w:cs="黑体"/>
          <w:color w:val="000000"/>
          <w:kern w:val="0"/>
          <w:sz w:val="32"/>
          <w:szCs w:val="32"/>
          <w:lang w:val="en-US" w:eastAsia="zh-CN"/>
        </w:rPr>
      </w:pPr>
      <w:r>
        <w:rPr>
          <w:rFonts w:eastAsia="仿宋_GB2312"/>
          <w:sz w:val="32"/>
          <w:szCs w:val="32"/>
        </w:rPr>
        <w:t>2、“三公”经费：</w:t>
      </w:r>
      <w:r>
        <w:rPr>
          <w:rFonts w:hint="default" w:ascii="Times New Roman" w:hAnsi="Times New Roman" w:eastAsia="仿宋_GB2312" w:cs="Times New Roman"/>
          <w:sz w:val="32"/>
          <w:szCs w:val="32"/>
        </w:rPr>
        <w:t>纳入财政预算管理的“三公“经费，是指用</w:t>
      </w:r>
      <w:r>
        <w:rPr>
          <w:rFonts w:hint="eastAsia" w:eastAsia="仿宋_GB2312" w:cs="Times New Roman"/>
          <w:sz w:val="32"/>
          <w:szCs w:val="32"/>
          <w:lang w:val="en-US" w:eastAsia="zh-CN"/>
        </w:rPr>
        <w:t>财政拨款</w:t>
      </w:r>
      <w:r>
        <w:rPr>
          <w:rFonts w:hint="default" w:ascii="Times New Roman" w:hAnsi="Times New Roman" w:eastAsia="仿宋_GB2312" w:cs="Times New Roman"/>
          <w:sz w:val="32"/>
          <w:szCs w:val="32"/>
        </w:rPr>
        <w:t>安排的因公出国</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费公务用车购置及运行维护费和公务接待费。其中，因公出国</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费反映单位公务出国</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的国际旅费、国外城市间交通费、住宿费、伙食费、培训费、公杂费等支出</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公务用车购置及运行维护费反映单位公务用车车辆购置支出</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含车辆购置税</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及燃料费、维修费、过桥过路费、保险费、安全奖励费用等支出</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公务接待费反映单位按规定开支的各类公务接待</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含外宾接待</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eastAsia="zh-CN"/>
        </w:rPr>
        <w:t>。</w:t>
      </w:r>
    </w:p>
    <w:p>
      <w:pPr>
        <w:pStyle w:val="15"/>
        <w:jc w:val="center"/>
        <w:rPr>
          <w:rFonts w:ascii="Times New Roman" w:hAnsi="Times New Roman" w:cs="Times New Roman"/>
          <w:sz w:val="72"/>
          <w:szCs w:val="72"/>
        </w:rPr>
      </w:pPr>
    </w:p>
    <w:p>
      <w:pPr>
        <w:pStyle w:val="15"/>
        <w:jc w:val="center"/>
        <w:rPr>
          <w:rFonts w:ascii="Times New Roman" w:hAnsi="Times New Roman" w:cs="Times New Roman"/>
          <w:sz w:val="72"/>
          <w:szCs w:val="72"/>
        </w:rPr>
      </w:pPr>
    </w:p>
    <w:p>
      <w:pPr>
        <w:pStyle w:val="15"/>
        <w:jc w:val="center"/>
        <w:rPr>
          <w:rFonts w:ascii="Times New Roman" w:hAnsi="Times New Roman" w:cs="Times New Roman"/>
          <w:sz w:val="72"/>
          <w:szCs w:val="72"/>
        </w:rPr>
      </w:pPr>
    </w:p>
    <w:p>
      <w:pPr>
        <w:pStyle w:val="15"/>
        <w:jc w:val="center"/>
        <w:rPr>
          <w:rFonts w:ascii="Times New Roman" w:hAnsi="Times New Roman" w:cs="Times New Roman"/>
          <w:sz w:val="72"/>
          <w:szCs w:val="72"/>
        </w:rPr>
      </w:pPr>
      <w:bookmarkStart w:id="3" w:name="_GoBack"/>
      <w:bookmarkEnd w:id="3"/>
    </w:p>
    <w:p>
      <w:pPr>
        <w:pStyle w:val="15"/>
        <w:jc w:val="both"/>
        <w:rPr>
          <w:rFonts w:ascii="Times New Roman" w:hAnsi="Times New Roman" w:cs="Times New Roman"/>
          <w:sz w:val="72"/>
          <w:szCs w:val="7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pStyle w:val="10"/>
        <w:keepNext w:val="0"/>
        <w:keepLines w:val="0"/>
        <w:widowControl/>
        <w:suppressLineNumbers w:val="0"/>
        <w:spacing w:before="0" w:beforeLines="0" w:beforeAutospacing="0" w:after="0" w:afterLines="0" w:afterAutospacing="0" w:line="33" w:lineRule="atLeast"/>
        <w:jc w:val="center"/>
        <w:rPr>
          <w:rFonts w:hint="eastAsia" w:ascii="仿宋_GB2312" w:hAnsi="仿宋_GB2312" w:eastAsia="仿宋_GB2312" w:cs="仿宋_GB2312"/>
          <w:b/>
          <w:sz w:val="30"/>
          <w:szCs w:val="30"/>
          <w:lang w:eastAsia="zh-CN"/>
        </w:rPr>
      </w:pPr>
      <w:r>
        <w:rPr>
          <w:rFonts w:hint="eastAsia" w:ascii="仿宋_GB2312" w:hAnsi="仿宋_GB2312" w:eastAsia="仿宋_GB2312" w:cs="仿宋_GB2312"/>
          <w:b/>
          <w:sz w:val="36"/>
          <w:szCs w:val="36"/>
          <w:lang w:val="en-US" w:eastAsia="zh-CN"/>
        </w:rPr>
        <w:t>2024年度</w:t>
      </w:r>
      <w:r>
        <w:rPr>
          <w:rFonts w:hint="eastAsia" w:ascii="仿宋_GB2312" w:hAnsi="仿宋_GB2312" w:eastAsia="仿宋_GB2312" w:cs="仿宋_GB2312"/>
          <w:b/>
          <w:sz w:val="36"/>
          <w:szCs w:val="36"/>
          <w:lang w:eastAsia="zh-CN"/>
        </w:rPr>
        <w:t>蓝山县民政局整体支出绩效评价报告</w:t>
      </w:r>
    </w:p>
    <w:p>
      <w:pPr>
        <w:pStyle w:val="10"/>
        <w:keepNext w:val="0"/>
        <w:keepLines w:val="0"/>
        <w:widowControl/>
        <w:suppressLineNumbers w:val="0"/>
        <w:spacing w:before="0" w:beforeLines="0" w:beforeAutospacing="0" w:after="0" w:afterLines="0" w:afterAutospacing="0" w:line="33" w:lineRule="atLeast"/>
        <w:ind w:left="0" w:firstLine="640" w:firstLineChars="200"/>
        <w:jc w:val="both"/>
        <w:rPr>
          <w:rFonts w:hint="eastAsia" w:ascii="仿宋_GB2312" w:hAnsi="仿宋_GB2312" w:eastAsia="仿宋_GB2312" w:cs="仿宋_GB2312"/>
          <w:b/>
          <w:bCs/>
          <w:sz w:val="30"/>
          <w:szCs w:val="30"/>
        </w:rPr>
      </w:pPr>
      <w:r>
        <w:rPr>
          <w:rFonts w:hint="eastAsia" w:ascii="仿宋_GB2312" w:hAnsi="仿宋_GB2312" w:eastAsia="仿宋_GB2312" w:cs="仿宋_GB2312"/>
          <w:b/>
          <w:bCs/>
          <w:sz w:val="32"/>
          <w:szCs w:val="32"/>
        </w:rPr>
        <w:t>一、部门概况</w:t>
      </w:r>
    </w:p>
    <w:p>
      <w:pPr>
        <w:pStyle w:val="10"/>
        <w:keepNext w:val="0"/>
        <w:keepLines w:val="0"/>
        <w:widowControl/>
        <w:suppressLineNumbers w:val="0"/>
        <w:spacing w:before="0" w:beforeLines="0" w:beforeAutospacing="0" w:after="0" w:afterLines="0" w:afterAutospacing="0" w:line="33" w:lineRule="atLeast"/>
        <w:ind w:left="0" w:firstLine="600" w:firstLineChars="200"/>
        <w:jc w:val="both"/>
        <w:rPr>
          <w:rFonts w:hint="eastAsia" w:ascii="仿宋_GB2312" w:hAnsi="仿宋_GB2312" w:eastAsia="仿宋_GB2312" w:cs="仿宋_GB2312"/>
          <w:sz w:val="30"/>
          <w:szCs w:val="30"/>
          <w:lang w:eastAsia="zh-CN"/>
        </w:rPr>
      </w:pPr>
      <w:r>
        <w:rPr>
          <w:rFonts w:hint="eastAsia" w:ascii="仿宋_GB2312" w:hAnsi="仿宋_GB2312" w:eastAsia="仿宋_GB2312" w:cs="仿宋_GB2312"/>
          <w:b/>
          <w:bCs/>
          <w:sz w:val="30"/>
          <w:szCs w:val="30"/>
        </w:rPr>
        <w:t>（一）部门基本情况</w:t>
      </w:r>
      <w:r>
        <w:rPr>
          <w:rFonts w:hint="eastAsia" w:ascii="仿宋_GB2312" w:hAnsi="仿宋_GB2312" w:eastAsia="仿宋_GB2312" w:cs="仿宋_GB2312"/>
          <w:b/>
          <w:bCs/>
          <w:sz w:val="30"/>
          <w:szCs w:val="30"/>
          <w:lang w:eastAsia="zh-CN"/>
        </w:rPr>
        <w:t>。</w:t>
      </w:r>
    </w:p>
    <w:p>
      <w:pPr>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1．主要职能。</w:t>
      </w:r>
    </w:p>
    <w:p>
      <w:pPr>
        <w:ind w:firstLine="567" w:firstLineChars="189"/>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(1) 贯彻执行党和国家关于民政工作的法律 、法规和方针、政策；起草民政规范性文件，拟订全县民政事业发展规划，并组织实施和监督检查。    </w:t>
      </w:r>
    </w:p>
    <w:p>
      <w:pPr>
        <w:ind w:firstLine="567" w:firstLineChars="189"/>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(2) 承担依法对全县社会团体、民办非企业单位登记管理和监察责任。 </w:t>
      </w:r>
    </w:p>
    <w:p>
      <w:pPr>
        <w:ind w:firstLine="426" w:firstLineChars="142"/>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(3) 拟订全县社会救助规划、办法；负责城乡居民最低生活保障、临时救助工作；负责农村五保供养和敬老院建设工作；负责城乡社会救助体系建设工作。 </w:t>
      </w:r>
    </w:p>
    <w:p>
      <w:pPr>
        <w:ind w:firstLine="567" w:firstLineChars="189"/>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(4) 拟订全县城乡基层群众自治组织建设和社区建设相关办法并组织实施；提出加强和改进城乡基层政权建设的建议；指导、组织城乡社区建设和服务管理工作；推动村（居）务公开和基层民主政治建设；指导基层群众自治组织和社区干部的表彰 。 </w:t>
      </w:r>
    </w:p>
    <w:p>
      <w:pPr>
        <w:ind w:firstLine="567" w:firstLineChars="189"/>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(5)拟订全县行政区划总体规划、地名管理办法并组织实施；负责行政区域界线的勘界和管理工作；负责全县法定行政区域界线争议的调处工作；负责地名管理工作。    </w:t>
      </w:r>
    </w:p>
    <w:p>
      <w:pPr>
        <w:ind w:firstLine="567" w:firstLineChars="189"/>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(6) 拟订全县社会福利事业发展规划 、办法并组织实施；指导全县社会福利机构的建设和管理；组织实施社会福利企业认定标准和落实相关扶持政策；指导老年人、孤儿和残疾人等特殊群体的权益保障工作；组织实施福利彩票发行管理实施办法并指导发行；组织实施福利彩票公益金使用管理具体实施办法并指导使用；组织拟订促进慈善事业发展的规划、办法；组织指导社会捐助工作。 </w:t>
      </w:r>
    </w:p>
    <w:p>
      <w:pPr>
        <w:ind w:firstLine="567" w:firstLineChars="189"/>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(7)贯彻执行国家、省、市的婚姻登记、殡葬管理和儿童收养政策并组织实施；推进婚俗和殡葬改革；指导婚姻、殡葬、收养服务机构管理工作；指导生活无着落人员救助管理站的建设，协调跨省、跨市及跨县区的生活无着落人员救助管理工作。 </w:t>
      </w:r>
    </w:p>
    <w:p>
      <w:pPr>
        <w:ind w:firstLine="567" w:firstLineChars="189"/>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（8）会同有关部门按规定拟订全县社会工作发展规划、职业规范，推进社会工作人才队伍建设和相关志愿者队伍建设；指导全县基层民政干部职工队伍建设；推进民政科技和民政行业标准化工作。 </w:t>
      </w:r>
    </w:p>
    <w:p>
      <w:pPr>
        <w:ind w:firstLine="567" w:firstLineChars="189"/>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（9）负责县民政经费的管理和合理使用；负责民政统计工作。 </w:t>
      </w:r>
    </w:p>
    <w:p>
      <w:pPr>
        <w:ind w:firstLine="450" w:firstLineChars="15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（10）组织指导老区建设，负责老区开发项目申报并做好相关服务工作。 </w:t>
      </w:r>
    </w:p>
    <w:p>
      <w:pPr>
        <w:widowControl/>
        <w:spacing w:line="60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t>（11）承办县人民政府交办的其他事项。</w:t>
      </w:r>
    </w:p>
    <w:p>
      <w:pPr>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2．机构情况。</w:t>
      </w:r>
    </w:p>
    <w:p>
      <w:pPr>
        <w:numPr>
          <w:ilvl w:val="0"/>
          <w:numId w:val="0"/>
        </w:numPr>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b w:val="0"/>
          <w:bCs w:val="0"/>
          <w:color w:val="auto"/>
          <w:kern w:val="0"/>
          <w:sz w:val="30"/>
          <w:szCs w:val="30"/>
          <w:lang w:val="en-US" w:eastAsia="zh-CN"/>
        </w:rPr>
        <w:t>2024年</w:t>
      </w:r>
      <w:r>
        <w:rPr>
          <w:rFonts w:hint="eastAsia" w:ascii="仿宋_GB2312" w:hAnsi="仿宋_GB2312" w:eastAsia="仿宋_GB2312" w:cs="仿宋_GB2312"/>
          <w:b w:val="0"/>
          <w:bCs w:val="0"/>
          <w:color w:val="auto"/>
          <w:sz w:val="30"/>
          <w:szCs w:val="30"/>
          <w:lang w:eastAsia="zh-CN"/>
        </w:rPr>
        <w:t>民政局</w:t>
      </w:r>
      <w:r>
        <w:rPr>
          <w:rFonts w:hint="eastAsia" w:ascii="仿宋_GB2312" w:hAnsi="仿宋_GB2312" w:eastAsia="仿宋_GB2312" w:cs="仿宋_GB2312"/>
          <w:b w:val="0"/>
          <w:bCs w:val="0"/>
          <w:color w:val="auto"/>
          <w:kern w:val="0"/>
          <w:sz w:val="30"/>
          <w:szCs w:val="30"/>
        </w:rPr>
        <w:t>单位内设机构包括：</w:t>
      </w:r>
      <w:r>
        <w:rPr>
          <w:rFonts w:hint="eastAsia" w:ascii="仿宋_GB2312" w:hAnsi="仿宋_GB2312" w:eastAsia="仿宋_GB2312" w:cs="仿宋_GB2312"/>
          <w:b w:val="0"/>
          <w:bCs w:val="0"/>
          <w:color w:val="auto"/>
          <w:sz w:val="30"/>
          <w:szCs w:val="30"/>
        </w:rPr>
        <w:t>局机关办公室</w:t>
      </w:r>
      <w:r>
        <w:rPr>
          <w:rFonts w:hint="eastAsia" w:ascii="仿宋_GB2312" w:hAnsi="仿宋_GB2312" w:eastAsia="仿宋_GB2312" w:cs="仿宋_GB2312"/>
          <w:b w:val="0"/>
          <w:bCs w:val="0"/>
          <w:color w:val="auto"/>
          <w:kern w:val="0"/>
          <w:sz w:val="30"/>
          <w:szCs w:val="30"/>
          <w:lang w:eastAsia="zh-CN"/>
        </w:rPr>
        <w:t>、规划财务室、养老服务股、婚姻登记处、党建办、</w:t>
      </w:r>
      <w:r>
        <w:rPr>
          <w:rFonts w:hint="eastAsia" w:ascii="仿宋_GB2312" w:hAnsi="仿宋_GB2312" w:eastAsia="仿宋_GB2312" w:cs="仿宋_GB2312"/>
          <w:b w:val="0"/>
          <w:bCs w:val="0"/>
          <w:color w:val="auto"/>
          <w:sz w:val="30"/>
          <w:szCs w:val="30"/>
        </w:rPr>
        <w:t>募委办</w:t>
      </w:r>
      <w:r>
        <w:rPr>
          <w:rFonts w:hint="eastAsia" w:ascii="仿宋_GB2312" w:hAnsi="仿宋_GB2312" w:eastAsia="仿宋_GB2312" w:cs="仿宋_GB2312"/>
          <w:b w:val="0"/>
          <w:bCs w:val="0"/>
          <w:color w:val="auto"/>
          <w:sz w:val="30"/>
          <w:szCs w:val="30"/>
          <w:lang w:eastAsia="zh-CN"/>
        </w:rPr>
        <w:t>、</w:t>
      </w:r>
      <w:r>
        <w:rPr>
          <w:rFonts w:hint="eastAsia" w:ascii="仿宋_GB2312" w:hAnsi="仿宋_GB2312" w:eastAsia="仿宋_GB2312" w:cs="仿宋_GB2312"/>
          <w:b w:val="0"/>
          <w:bCs w:val="0"/>
          <w:color w:val="auto"/>
          <w:kern w:val="0"/>
          <w:sz w:val="30"/>
          <w:szCs w:val="30"/>
          <w:lang w:eastAsia="zh-CN"/>
        </w:rPr>
        <w:t>基政股、基建办、儿童福利股、低保股、事务股、救助救济股、地名区划股</w:t>
      </w:r>
      <w:r>
        <w:rPr>
          <w:rFonts w:hint="eastAsia" w:ascii="仿宋_GB2312" w:hAnsi="仿宋_GB2312" w:eastAsia="仿宋_GB2312" w:cs="仿宋_GB2312"/>
          <w:b w:val="0"/>
          <w:bCs w:val="0"/>
          <w:color w:val="auto"/>
          <w:kern w:val="0"/>
          <w:sz w:val="30"/>
          <w:szCs w:val="30"/>
          <w:lang w:val="en-US" w:eastAsia="zh-CN"/>
        </w:rPr>
        <w:t>（老区办）、对口驻村队、重点项目办、窗口服务办</w:t>
      </w:r>
      <w:r>
        <w:rPr>
          <w:rFonts w:hint="eastAsia" w:ascii="仿宋_GB2312" w:hAnsi="仿宋_GB2312" w:eastAsia="仿宋_GB2312" w:cs="仿宋_GB2312"/>
          <w:color w:val="auto"/>
          <w:kern w:val="0"/>
          <w:sz w:val="30"/>
          <w:szCs w:val="30"/>
        </w:rPr>
        <w:t>及下设二级机构;民政事务中心、救助服务站、殡葬事务</w:t>
      </w:r>
      <w:r>
        <w:rPr>
          <w:rFonts w:hint="eastAsia" w:ascii="仿宋_GB2312" w:hAnsi="仿宋_GB2312" w:eastAsia="仿宋_GB2312" w:cs="仿宋_GB2312"/>
          <w:color w:val="auto"/>
          <w:kern w:val="0"/>
          <w:sz w:val="30"/>
          <w:szCs w:val="30"/>
          <w:lang w:eastAsia="zh-CN"/>
        </w:rPr>
        <w:t>管理</w:t>
      </w:r>
      <w:r>
        <w:rPr>
          <w:rFonts w:hint="eastAsia" w:ascii="仿宋_GB2312" w:hAnsi="仿宋_GB2312" w:eastAsia="仿宋_GB2312" w:cs="仿宋_GB2312"/>
          <w:color w:val="auto"/>
          <w:kern w:val="0"/>
          <w:sz w:val="30"/>
          <w:szCs w:val="30"/>
          <w:lang w:val="en-US" w:eastAsia="zh-CN"/>
        </w:rPr>
        <w:t>所、湘江源中心敬老院、社会福利院、慈善总会办公室。</w:t>
      </w:r>
    </w:p>
    <w:p>
      <w:pPr>
        <w:numPr>
          <w:ilvl w:val="0"/>
          <w:numId w:val="3"/>
        </w:numPr>
        <w:snapToGrid w:val="0"/>
        <w:spacing w:line="520" w:lineRule="exact"/>
        <w:ind w:left="0" w:leftChars="0" w:firstLine="600" w:firstLineChars="200"/>
        <w:rPr>
          <w:rFonts w:hint="eastAsia" w:ascii="仿宋_GB2312" w:hAnsi="仿宋_GB2312" w:eastAsia="仿宋_GB2312" w:cs="仿宋_GB2312"/>
          <w:color w:val="auto"/>
          <w:kern w:val="0"/>
          <w:sz w:val="30"/>
          <w:szCs w:val="30"/>
          <w:lang w:val="en-US" w:eastAsia="zh-CN"/>
        </w:rPr>
      </w:pPr>
      <w:r>
        <w:rPr>
          <w:rFonts w:hint="eastAsia" w:ascii="仿宋_GB2312" w:hAnsi="仿宋_GB2312" w:eastAsia="仿宋_GB2312" w:cs="仿宋_GB2312"/>
          <w:sz w:val="30"/>
          <w:szCs w:val="30"/>
        </w:rPr>
        <w:t>人员情况</w:t>
      </w:r>
      <w:r>
        <w:rPr>
          <w:rFonts w:hint="eastAsia" w:ascii="仿宋_GB2312" w:hAnsi="仿宋_GB2312" w:eastAsia="仿宋_GB2312" w:cs="仿宋_GB2312"/>
          <w:color w:val="auto"/>
          <w:kern w:val="0"/>
          <w:sz w:val="30"/>
          <w:szCs w:val="30"/>
          <w:lang w:val="en-US" w:eastAsia="zh-CN"/>
        </w:rPr>
        <w:t xml:space="preserve">       </w:t>
      </w:r>
    </w:p>
    <w:p>
      <w:pPr>
        <w:numPr>
          <w:ilvl w:val="0"/>
          <w:numId w:val="0"/>
        </w:numPr>
        <w:snapToGrid w:val="0"/>
        <w:spacing w:line="520" w:lineRule="exact"/>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截止2024年底，本单位共有在职在编人员73人，退休人员40人。</w:t>
      </w:r>
    </w:p>
    <w:p>
      <w:pPr>
        <w:pStyle w:val="10"/>
        <w:keepNext w:val="0"/>
        <w:keepLines w:val="0"/>
        <w:widowControl/>
        <w:numPr>
          <w:ilvl w:val="0"/>
          <w:numId w:val="4"/>
        </w:numPr>
        <w:suppressLineNumbers w:val="0"/>
        <w:spacing w:before="0" w:beforeLines="0" w:beforeAutospacing="0" w:after="0" w:afterLines="0" w:afterAutospacing="0" w:line="33" w:lineRule="atLeast"/>
        <w:ind w:right="0" w:rightChars="0" w:firstLine="600" w:firstLineChars="200"/>
        <w:jc w:val="both"/>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部门整体</w:t>
      </w:r>
      <w:r>
        <w:rPr>
          <w:rFonts w:hint="eastAsia" w:ascii="仿宋_GB2312" w:hAnsi="仿宋_GB2312" w:eastAsia="仿宋_GB2312" w:cs="仿宋_GB2312"/>
          <w:b/>
          <w:bCs/>
          <w:sz w:val="30"/>
          <w:szCs w:val="30"/>
          <w:lang w:eastAsia="zh-CN"/>
        </w:rPr>
        <w:t>收</w:t>
      </w:r>
      <w:r>
        <w:rPr>
          <w:rFonts w:hint="eastAsia" w:ascii="仿宋_GB2312" w:hAnsi="仿宋_GB2312" w:eastAsia="仿宋_GB2312" w:cs="仿宋_GB2312"/>
          <w:b/>
          <w:bCs/>
          <w:sz w:val="30"/>
          <w:szCs w:val="30"/>
        </w:rPr>
        <w:t>支规模、使用方向和主要内容、涉及范围等</w:t>
      </w:r>
    </w:p>
    <w:p>
      <w:pPr>
        <w:pStyle w:val="10"/>
        <w:keepNext w:val="0"/>
        <w:keepLines w:val="0"/>
        <w:widowControl/>
        <w:numPr>
          <w:ilvl w:val="0"/>
          <w:numId w:val="0"/>
        </w:numPr>
        <w:suppressLineNumbers w:val="0"/>
        <w:spacing w:before="0" w:beforeLines="0" w:beforeAutospacing="0" w:after="0" w:afterLines="0" w:afterAutospacing="0" w:line="33" w:lineRule="atLeast"/>
        <w:ind w:right="0" w:rightChars="0" w:firstLine="600" w:firstLineChars="200"/>
        <w:jc w:val="both"/>
        <w:rPr>
          <w:rFonts w:hint="eastAsia" w:ascii="仿宋_GB2312" w:hAnsi="仿宋_GB2312" w:eastAsia="仿宋_GB2312" w:cs="仿宋_GB2312"/>
          <w:b/>
          <w:bCs/>
          <w:sz w:val="30"/>
          <w:szCs w:val="30"/>
        </w:rPr>
      </w:pPr>
      <w:r>
        <w:rPr>
          <w:rFonts w:hint="eastAsia" w:ascii="仿宋_GB2312" w:hAnsi="仿宋_GB2312" w:eastAsia="仿宋_GB2312" w:cs="仿宋_GB2312"/>
          <w:b w:val="0"/>
          <w:bCs w:val="0"/>
          <w:sz w:val="30"/>
          <w:szCs w:val="30"/>
          <w:lang w:eastAsia="zh-CN"/>
        </w:rPr>
        <w:t>我单位</w:t>
      </w:r>
      <w:r>
        <w:rPr>
          <w:rFonts w:hint="eastAsia" w:ascii="仿宋_GB2312" w:hAnsi="仿宋_GB2312" w:eastAsia="仿宋_GB2312" w:cs="仿宋_GB2312"/>
          <w:b w:val="0"/>
          <w:bCs w:val="0"/>
          <w:sz w:val="30"/>
          <w:szCs w:val="30"/>
          <w:lang w:val="en-US" w:eastAsia="zh-CN"/>
        </w:rPr>
        <w:t>2024年</w:t>
      </w:r>
      <w:r>
        <w:rPr>
          <w:rFonts w:hint="eastAsia" w:ascii="仿宋_GB2312" w:hAnsi="仿宋_GB2312" w:eastAsia="仿宋_GB2312" w:cs="仿宋_GB2312"/>
          <w:b w:val="0"/>
          <w:bCs w:val="0"/>
          <w:color w:val="000000"/>
          <w:sz w:val="30"/>
          <w:szCs w:val="30"/>
          <w:shd w:val="clear" w:color="auto" w:fill="FFFFFF"/>
          <w:lang w:val="en-US" w:eastAsia="zh-CN"/>
        </w:rPr>
        <w:t>预算总收入1672.72万元，其中一般公共预算财政拨款收入1651.16万元，政府性基金预算财政拨款收入0万元。2024年全年实际支出1651.16万元，基本支出965.3万元，项目支出685.86万元，结余财政资金0万元。</w:t>
      </w:r>
    </w:p>
    <w:p>
      <w:pPr>
        <w:pStyle w:val="10"/>
        <w:keepNext w:val="0"/>
        <w:keepLines w:val="0"/>
        <w:widowControl/>
        <w:suppressLineNumbers w:val="0"/>
        <w:spacing w:before="0" w:beforeLines="0" w:beforeAutospacing="0" w:after="0" w:afterLines="0" w:afterAutospacing="0" w:line="33" w:lineRule="atLeast"/>
        <w:ind w:left="0" w:firstLine="640"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、部门整体支出管理及使用情况</w:t>
      </w:r>
    </w:p>
    <w:p>
      <w:pPr>
        <w:pStyle w:val="10"/>
        <w:keepNext w:val="0"/>
        <w:keepLines w:val="0"/>
        <w:widowControl/>
        <w:suppressLineNumbers w:val="0"/>
        <w:spacing w:before="0" w:beforeLines="0" w:beforeAutospacing="0" w:after="0" w:afterLines="0" w:afterAutospacing="0" w:line="33" w:lineRule="atLeast"/>
        <w:ind w:left="0" w:firstLine="600" w:firstLineChars="200"/>
        <w:jc w:val="both"/>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（一）基本支出管理情况</w:t>
      </w:r>
    </w:p>
    <w:p>
      <w:pPr>
        <w:pStyle w:val="10"/>
        <w:keepNext w:val="0"/>
        <w:keepLines w:val="0"/>
        <w:widowControl/>
        <w:suppressLineNumbers w:val="0"/>
        <w:spacing w:before="0" w:beforeLines="0" w:beforeAutospacing="0" w:after="0" w:afterLines="0" w:afterAutospacing="0" w:line="33" w:lineRule="atLeast"/>
        <w:ind w:left="0" w:firstLine="600" w:firstLineChars="200"/>
        <w:jc w:val="both"/>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color w:val="000000"/>
          <w:sz w:val="30"/>
          <w:szCs w:val="30"/>
          <w:shd w:val="clear" w:color="auto" w:fill="FFFFFF"/>
          <w:lang w:val="en-US" w:eastAsia="zh-CN"/>
        </w:rPr>
        <w:t>2024</w:t>
      </w:r>
      <w:r>
        <w:rPr>
          <w:rFonts w:hint="eastAsia" w:ascii="仿宋_GB2312" w:hAnsi="仿宋_GB2312" w:eastAsia="仿宋_GB2312" w:cs="仿宋_GB2312"/>
          <w:color w:val="000000"/>
          <w:sz w:val="30"/>
          <w:szCs w:val="30"/>
          <w:shd w:val="clear" w:color="auto" w:fill="FFFFFF"/>
        </w:rPr>
        <w:t>年</w:t>
      </w:r>
      <w:r>
        <w:rPr>
          <w:rFonts w:hint="eastAsia" w:ascii="仿宋_GB2312" w:hAnsi="仿宋_GB2312" w:eastAsia="仿宋_GB2312" w:cs="仿宋_GB2312"/>
          <w:color w:val="000000"/>
          <w:sz w:val="30"/>
          <w:szCs w:val="30"/>
          <w:shd w:val="clear" w:color="auto" w:fill="FFFFFF"/>
          <w:lang w:eastAsia="zh-CN"/>
        </w:rPr>
        <w:t>基本支出</w:t>
      </w:r>
      <w:r>
        <w:rPr>
          <w:rFonts w:hint="eastAsia" w:ascii="仿宋_GB2312" w:hAnsi="仿宋_GB2312" w:eastAsia="仿宋_GB2312" w:cs="仿宋_GB2312"/>
          <w:color w:val="000000"/>
          <w:sz w:val="30"/>
          <w:szCs w:val="30"/>
          <w:shd w:val="clear" w:color="auto" w:fill="FFFFFF"/>
        </w:rPr>
        <w:t>预算数为</w:t>
      </w:r>
      <w:r>
        <w:rPr>
          <w:rFonts w:hint="eastAsia" w:ascii="仿宋_GB2312" w:hAnsi="仿宋_GB2312" w:eastAsia="仿宋_GB2312" w:cs="仿宋_GB2312"/>
          <w:color w:val="auto"/>
          <w:sz w:val="30"/>
          <w:szCs w:val="30"/>
          <w:shd w:val="clear" w:color="auto" w:fill="FFFFFF"/>
          <w:lang w:val="en-US" w:eastAsia="zh-CN"/>
        </w:rPr>
        <w:t>965.3</w:t>
      </w:r>
      <w:r>
        <w:rPr>
          <w:rFonts w:hint="eastAsia" w:ascii="仿宋_GB2312" w:hAnsi="仿宋_GB2312" w:eastAsia="仿宋_GB2312" w:cs="仿宋_GB2312"/>
          <w:color w:val="000000"/>
          <w:sz w:val="30"/>
          <w:szCs w:val="30"/>
          <w:shd w:val="clear" w:color="auto" w:fill="FFFFFF"/>
        </w:rPr>
        <w:t>万元，是指为保障单位机构正常运转、完成日常工作任务而发生的各项支出。</w:t>
      </w:r>
      <w:r>
        <w:rPr>
          <w:rFonts w:hint="eastAsia" w:ascii="仿宋_GB2312" w:hAnsi="仿宋_GB2312" w:eastAsia="仿宋_GB2312" w:cs="仿宋_GB2312"/>
          <w:color w:val="000000"/>
          <w:sz w:val="30"/>
          <w:szCs w:val="30"/>
          <w:shd w:val="clear" w:color="auto" w:fill="FFFFFF"/>
          <w:lang w:eastAsia="zh-CN"/>
        </w:rPr>
        <w:t>实际支出</w:t>
      </w:r>
      <w:r>
        <w:rPr>
          <w:rFonts w:hint="eastAsia" w:ascii="仿宋_GB2312" w:hAnsi="仿宋_GB2312" w:eastAsia="仿宋_GB2312" w:cs="仿宋_GB2312"/>
          <w:color w:val="000000"/>
          <w:sz w:val="30"/>
          <w:szCs w:val="30"/>
          <w:shd w:val="clear" w:color="auto" w:fill="FFFFFF"/>
          <w:lang w:val="en-US" w:eastAsia="zh-CN"/>
        </w:rPr>
        <w:t>965.3万元，其中工资福利支出876.65万元，商品和服务支出68.75万元，对个人和家庭的补助支出19.9万元。</w:t>
      </w:r>
    </w:p>
    <w:p>
      <w:pPr>
        <w:pStyle w:val="10"/>
        <w:keepNext w:val="0"/>
        <w:keepLines w:val="0"/>
        <w:widowControl/>
        <w:suppressLineNumbers w:val="0"/>
        <w:spacing w:before="0" w:beforeLines="0" w:beforeAutospacing="0" w:after="0" w:afterLines="0" w:afterAutospacing="0" w:line="33" w:lineRule="atLeast"/>
        <w:ind w:left="0" w:firstLine="600" w:firstLineChars="200"/>
        <w:jc w:val="both"/>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（二）“三公经费”支出使用和管理情况</w:t>
      </w:r>
    </w:p>
    <w:p>
      <w:pPr>
        <w:pStyle w:val="10"/>
        <w:keepNext w:val="0"/>
        <w:keepLines w:val="0"/>
        <w:widowControl/>
        <w:numPr>
          <w:ilvl w:val="0"/>
          <w:numId w:val="0"/>
        </w:numPr>
        <w:suppressLineNumbers w:val="0"/>
        <w:spacing w:before="0" w:beforeLines="0" w:beforeAutospacing="0" w:after="0" w:afterLines="0" w:afterAutospacing="0" w:line="33" w:lineRule="atLeast"/>
        <w:ind w:right="0" w:rightChars="0" w:firstLine="600" w:firstLineChars="200"/>
        <w:jc w:val="both"/>
        <w:rPr>
          <w:rFonts w:hint="eastAsia" w:ascii="仿宋_GB2312" w:hAnsi="仿宋_GB2312" w:eastAsia="仿宋_GB2312" w:cs="仿宋_GB2312"/>
          <w:sz w:val="30"/>
          <w:szCs w:val="30"/>
        </w:rPr>
      </w:pPr>
      <w:r>
        <w:rPr>
          <w:rFonts w:hint="eastAsia" w:ascii="仿宋_GB2312" w:hAnsi="仿宋_GB2312" w:eastAsia="仿宋_GB2312" w:cs="仿宋_GB2312"/>
          <w:b w:val="0"/>
          <w:bCs w:val="0"/>
          <w:sz w:val="30"/>
          <w:szCs w:val="30"/>
          <w:lang w:val="en-US" w:eastAsia="zh-CN"/>
        </w:rPr>
        <w:t>2024年</w:t>
      </w:r>
      <w:r>
        <w:rPr>
          <w:rFonts w:hint="eastAsia" w:ascii="仿宋_GB2312" w:hAnsi="仿宋_GB2312" w:eastAsia="仿宋_GB2312" w:cs="仿宋_GB2312"/>
          <w:b w:val="0"/>
          <w:bCs w:val="0"/>
          <w:sz w:val="30"/>
          <w:szCs w:val="30"/>
        </w:rPr>
        <w:t>“三公经费”</w:t>
      </w:r>
      <w:r>
        <w:rPr>
          <w:rFonts w:hint="eastAsia" w:ascii="仿宋_GB2312" w:hAnsi="仿宋_GB2312" w:eastAsia="仿宋_GB2312" w:cs="仿宋_GB2312"/>
          <w:b w:val="0"/>
          <w:bCs w:val="0"/>
          <w:sz w:val="30"/>
          <w:szCs w:val="30"/>
          <w:lang w:val="en-US" w:eastAsia="zh-CN"/>
        </w:rPr>
        <w:t>年初预算数为16.38万元，其中公车运行维护费6.48万元，公务接待费9.9万元。2024年</w:t>
      </w:r>
      <w:r>
        <w:rPr>
          <w:rFonts w:hint="eastAsia" w:ascii="仿宋_GB2312" w:hAnsi="仿宋_GB2312" w:eastAsia="仿宋_GB2312" w:cs="仿宋_GB2312"/>
          <w:b w:val="0"/>
          <w:bCs w:val="0"/>
          <w:sz w:val="30"/>
          <w:szCs w:val="30"/>
        </w:rPr>
        <w:t>“三公经费”</w:t>
      </w:r>
      <w:r>
        <w:rPr>
          <w:rFonts w:hint="eastAsia" w:ascii="仿宋_GB2312" w:hAnsi="仿宋_GB2312" w:eastAsia="仿宋_GB2312" w:cs="仿宋_GB2312"/>
          <w:b w:val="0"/>
          <w:bCs w:val="0"/>
          <w:sz w:val="30"/>
          <w:szCs w:val="30"/>
          <w:lang w:val="en-US" w:eastAsia="zh-CN"/>
        </w:rPr>
        <w:t>实际支出5.2万元，公车运行维护支出0万元，公务接待支出5.2万元。较上年比较，</w:t>
      </w:r>
      <w:r>
        <w:rPr>
          <w:rFonts w:hint="eastAsia" w:ascii="仿宋_GB2312" w:hAnsi="仿宋_GB2312" w:eastAsia="仿宋_GB2312" w:cs="仿宋_GB2312"/>
          <w:b w:val="0"/>
          <w:bCs w:val="0"/>
          <w:sz w:val="30"/>
          <w:szCs w:val="30"/>
        </w:rPr>
        <w:t>“三公经费”</w:t>
      </w:r>
      <w:r>
        <w:rPr>
          <w:rFonts w:hint="eastAsia" w:ascii="仿宋_GB2312" w:hAnsi="仿宋_GB2312" w:eastAsia="仿宋_GB2312" w:cs="仿宋_GB2312"/>
          <w:b w:val="0"/>
          <w:bCs w:val="0"/>
          <w:sz w:val="30"/>
          <w:szCs w:val="30"/>
          <w:lang w:val="en-US" w:eastAsia="zh-CN"/>
        </w:rPr>
        <w:t>实际支出减少0.89万元，减少14.61%。</w:t>
      </w:r>
    </w:p>
    <w:p>
      <w:pPr>
        <w:pStyle w:val="10"/>
        <w:keepNext w:val="0"/>
        <w:keepLines w:val="0"/>
        <w:widowControl/>
        <w:suppressLineNumbers w:val="0"/>
        <w:spacing w:before="0" w:beforeLines="0" w:beforeAutospacing="0" w:after="0" w:afterLines="0" w:afterAutospacing="0" w:line="33" w:lineRule="atLeast"/>
        <w:ind w:left="0" w:firstLine="600" w:firstLineChars="200"/>
        <w:jc w:val="both"/>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（三）专项</w:t>
      </w:r>
      <w:r>
        <w:rPr>
          <w:rFonts w:hint="eastAsia" w:ascii="仿宋_GB2312" w:hAnsi="仿宋_GB2312" w:eastAsia="仿宋_GB2312" w:cs="仿宋_GB2312"/>
          <w:b/>
          <w:bCs/>
          <w:sz w:val="30"/>
          <w:szCs w:val="30"/>
          <w:lang w:eastAsia="zh-CN"/>
        </w:rPr>
        <w:t>资金</w:t>
      </w:r>
      <w:r>
        <w:rPr>
          <w:rFonts w:hint="eastAsia" w:ascii="仿宋_GB2312" w:hAnsi="仿宋_GB2312" w:eastAsia="仿宋_GB2312" w:cs="仿宋_GB2312"/>
          <w:b/>
          <w:bCs/>
          <w:sz w:val="30"/>
          <w:szCs w:val="30"/>
        </w:rPr>
        <w:t>管理和使用情况</w:t>
      </w:r>
    </w:p>
    <w:p>
      <w:pPr>
        <w:pStyle w:val="10"/>
        <w:keepNext w:val="0"/>
        <w:keepLines w:val="0"/>
        <w:widowControl/>
        <w:suppressLineNumbers w:val="0"/>
        <w:spacing w:before="0" w:beforeLines="0" w:beforeAutospacing="0" w:after="0" w:afterLines="0" w:afterAutospacing="0" w:line="33" w:lineRule="atLeast"/>
        <w:ind w:left="0" w:firstLine="600" w:firstLineChars="200"/>
        <w:jc w:val="both"/>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专项资金年初预算数为</w:t>
      </w:r>
      <w:r>
        <w:rPr>
          <w:rFonts w:hint="eastAsia" w:ascii="仿宋_GB2312" w:hAnsi="仿宋_GB2312" w:eastAsia="仿宋_GB2312" w:cs="仿宋_GB2312"/>
          <w:color w:val="auto"/>
          <w:sz w:val="30"/>
          <w:szCs w:val="30"/>
          <w:lang w:val="en-US" w:eastAsia="zh-CN"/>
        </w:rPr>
        <w:t>4600.07万元，实际支出685.86万元。</w:t>
      </w:r>
      <w:r>
        <w:rPr>
          <w:rFonts w:hint="eastAsia" w:ascii="仿宋_GB2312" w:hAnsi="仿宋_GB2312" w:eastAsia="仿宋_GB2312" w:cs="仿宋_GB2312"/>
          <w:color w:val="auto"/>
          <w:sz w:val="30"/>
          <w:szCs w:val="30"/>
          <w:lang w:eastAsia="zh-CN"/>
        </w:rPr>
        <w:t>我单位建立了专项资金管理办法，严格遵循专款专用、独立核算的管理原则。我单位目前对专项资金的管理按照项目支出涉及的经济科目规定，严格根据财务管理办法的相关制度执行。</w:t>
      </w:r>
    </w:p>
    <w:p>
      <w:pPr>
        <w:spacing w:line="500" w:lineRule="exact"/>
        <w:ind w:firstLine="600" w:firstLineChars="200"/>
        <w:rPr>
          <w:rFonts w:hint="eastAsia" w:ascii="仿宋_GB2312" w:hAnsi="仿宋_GB2312" w:eastAsia="仿宋_GB2312" w:cs="仿宋_GB2312"/>
          <w:b/>
          <w:bCs w:val="0"/>
          <w:sz w:val="30"/>
          <w:szCs w:val="30"/>
          <w:lang w:eastAsia="zh-CN"/>
        </w:rPr>
      </w:pPr>
      <w:r>
        <w:rPr>
          <w:rFonts w:hint="eastAsia" w:ascii="仿宋_GB2312" w:hAnsi="仿宋_GB2312" w:eastAsia="仿宋_GB2312" w:cs="仿宋_GB2312"/>
          <w:b/>
          <w:bCs w:val="0"/>
          <w:sz w:val="30"/>
          <w:szCs w:val="30"/>
          <w:lang w:eastAsia="zh-CN"/>
        </w:rPr>
        <w:t>（四）项目支出管理和使用情况</w:t>
      </w:r>
    </w:p>
    <w:p>
      <w:pPr>
        <w:pStyle w:val="2"/>
        <w:ind w:left="0" w:leftChars="0" w:firstLine="600" w:firstLineChars="200"/>
        <w:rPr>
          <w:rFonts w:hint="default"/>
          <w:b w:val="0"/>
          <w:bCs/>
          <w:sz w:val="30"/>
          <w:szCs w:val="30"/>
          <w:lang w:val="en-US" w:eastAsia="zh-CN"/>
        </w:rPr>
      </w:pPr>
      <w:r>
        <w:rPr>
          <w:rFonts w:hint="eastAsia" w:ascii="仿宋_GB2312" w:hAnsi="仿宋_GB2312" w:eastAsia="仿宋_GB2312" w:cs="仿宋_GB2312"/>
          <w:b w:val="0"/>
          <w:bCs/>
          <w:sz w:val="30"/>
          <w:szCs w:val="30"/>
          <w:lang w:val="en-US" w:eastAsia="zh-CN"/>
        </w:rPr>
        <w:t>2024年我单位项目支出年初预算为4600.07万元，实际项目支出685.86万元。我单位专项项目的申报严格按照财政资金管理的要求进行，专项资金财政拨款到位后及时进行项目开展和资金收入。专项资金中涉及的项目招投标、政府采购事项，均严格按照相关要求执行。</w:t>
      </w:r>
    </w:p>
    <w:p>
      <w:pPr>
        <w:pStyle w:val="10"/>
        <w:keepNext w:val="0"/>
        <w:keepLines w:val="0"/>
        <w:widowControl/>
        <w:suppressLineNumbers w:val="0"/>
        <w:spacing w:before="0" w:beforeLines="0" w:beforeAutospacing="0" w:after="0" w:afterLines="0" w:afterAutospacing="0" w:line="33" w:lineRule="atLeast"/>
        <w:ind w:firstLine="640"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三、部门（单位）</w:t>
      </w:r>
      <w:r>
        <w:rPr>
          <w:rFonts w:hint="eastAsia" w:ascii="仿宋_GB2312" w:hAnsi="仿宋_GB2312" w:eastAsia="仿宋_GB2312" w:cs="仿宋_GB2312"/>
          <w:b/>
          <w:bCs/>
          <w:sz w:val="32"/>
          <w:szCs w:val="32"/>
          <w:lang w:eastAsia="zh-CN"/>
        </w:rPr>
        <w:t>绩效评价工作</w:t>
      </w:r>
      <w:r>
        <w:rPr>
          <w:rFonts w:hint="eastAsia" w:ascii="仿宋_GB2312" w:hAnsi="仿宋_GB2312" w:eastAsia="仿宋_GB2312" w:cs="仿宋_GB2312"/>
          <w:b/>
          <w:bCs/>
          <w:sz w:val="32"/>
          <w:szCs w:val="32"/>
        </w:rPr>
        <w:t>组织实施情况</w:t>
      </w:r>
    </w:p>
    <w:p>
      <w:pPr>
        <w:pStyle w:val="10"/>
        <w:keepNext w:val="0"/>
        <w:keepLines w:val="0"/>
        <w:widowControl/>
        <w:numPr>
          <w:ilvl w:val="0"/>
          <w:numId w:val="0"/>
        </w:numPr>
        <w:suppressLineNumbers w:val="0"/>
        <w:spacing w:before="0" w:beforeLines="0" w:beforeAutospacing="0" w:after="0" w:afterLines="0" w:afterAutospacing="0" w:line="33" w:lineRule="atLeast"/>
        <w:ind w:right="0" w:rightChars="0" w:firstLine="600" w:firstLineChars="200"/>
        <w:jc w:val="both"/>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我单位</w:t>
      </w:r>
      <w:r>
        <w:rPr>
          <w:rFonts w:hint="eastAsia" w:ascii="仿宋_GB2312" w:hAnsi="仿宋_GB2312" w:eastAsia="仿宋_GB2312" w:cs="仿宋_GB2312"/>
          <w:color w:val="333333"/>
          <w:sz w:val="30"/>
          <w:szCs w:val="30"/>
          <w:shd w:val="clear" w:color="auto" w:fill="FFFFFF"/>
        </w:rPr>
        <w:t>成立</w:t>
      </w:r>
      <w:r>
        <w:rPr>
          <w:rFonts w:hint="eastAsia" w:ascii="仿宋_GB2312" w:hAnsi="仿宋_GB2312" w:eastAsia="仿宋_GB2312" w:cs="仿宋_GB2312"/>
          <w:color w:val="333333"/>
          <w:sz w:val="30"/>
          <w:szCs w:val="30"/>
          <w:shd w:val="clear" w:color="auto" w:fill="FFFFFF"/>
          <w:lang w:val="en-US" w:eastAsia="zh-CN"/>
        </w:rPr>
        <w:t>了</w:t>
      </w:r>
      <w:r>
        <w:rPr>
          <w:rFonts w:hint="eastAsia" w:ascii="仿宋_GB2312" w:hAnsi="仿宋_GB2312" w:eastAsia="仿宋_GB2312" w:cs="仿宋_GB2312"/>
          <w:color w:val="333333"/>
          <w:sz w:val="30"/>
          <w:szCs w:val="30"/>
          <w:shd w:val="clear" w:color="auto" w:fill="FFFFFF"/>
        </w:rPr>
        <w:t>由局领导、办公室、计财股、监察室等相关股室人员组成的绩效管理工作领导小组</w:t>
      </w:r>
      <w:r>
        <w:rPr>
          <w:rFonts w:hint="eastAsia" w:ascii="仿宋_GB2312" w:hAnsi="仿宋_GB2312" w:eastAsia="仿宋_GB2312" w:cs="仿宋_GB2312"/>
          <w:sz w:val="30"/>
          <w:szCs w:val="30"/>
          <w:lang w:eastAsia="zh-CN"/>
        </w:rPr>
        <w:t>，负责本单位绩效自评工作的组织领导和具体实施，明确了工作职责和分工，制定了切实可行的评价方案。</w:t>
      </w:r>
      <w:r>
        <w:rPr>
          <w:rFonts w:hint="eastAsia" w:ascii="仿宋_GB2312" w:hAnsi="仿宋_GB2312" w:eastAsia="仿宋_GB2312" w:cs="仿宋_GB2312"/>
          <w:color w:val="333333"/>
          <w:sz w:val="30"/>
          <w:szCs w:val="30"/>
          <w:shd w:val="clear" w:color="auto" w:fill="FFFFFF"/>
        </w:rPr>
        <w:t>我</w:t>
      </w:r>
      <w:r>
        <w:rPr>
          <w:rFonts w:hint="eastAsia" w:ascii="仿宋_GB2312" w:hAnsi="仿宋_GB2312" w:eastAsia="仿宋_GB2312" w:cs="仿宋_GB2312"/>
          <w:color w:val="333333"/>
          <w:sz w:val="30"/>
          <w:szCs w:val="30"/>
          <w:shd w:val="clear" w:color="auto" w:fill="FFFFFF"/>
          <w:lang w:eastAsia="zh-CN"/>
        </w:rPr>
        <w:t>单位</w:t>
      </w:r>
      <w:r>
        <w:rPr>
          <w:rFonts w:hint="eastAsia" w:ascii="仿宋_GB2312" w:hAnsi="仿宋_GB2312" w:eastAsia="仿宋_GB2312" w:cs="仿宋_GB2312"/>
          <w:color w:val="333333"/>
          <w:sz w:val="30"/>
          <w:szCs w:val="30"/>
          <w:shd w:val="clear" w:color="auto" w:fill="FFFFFF"/>
        </w:rPr>
        <w:t>绩效管理工作领导小组认真收集整理佐证材料</w:t>
      </w:r>
      <w:r>
        <w:rPr>
          <w:rFonts w:hint="eastAsia" w:ascii="仿宋" w:hAnsi="仿宋" w:eastAsia="仿宋" w:cs="仿宋"/>
          <w:color w:val="333333"/>
          <w:sz w:val="32"/>
          <w:szCs w:val="32"/>
          <w:shd w:val="clear" w:color="auto" w:fill="FFFFFF"/>
          <w:lang w:eastAsia="zh-CN"/>
        </w:rPr>
        <w:t>，</w:t>
      </w:r>
      <w:r>
        <w:rPr>
          <w:rFonts w:hint="eastAsia" w:ascii="仿宋_GB2312" w:hAnsi="仿宋_GB2312" w:eastAsia="仿宋_GB2312" w:cs="仿宋_GB2312"/>
          <w:sz w:val="30"/>
          <w:szCs w:val="30"/>
          <w:lang w:eastAsia="zh-CN"/>
        </w:rPr>
        <w:t>根据各业务股室的情况汇报和提交的工作计划、工作总结等资料，评价小组现场进行询查和核实，根据确定的评价指标、评价标准和评价方法统一打分，形成自评结论。</w:t>
      </w:r>
    </w:p>
    <w:p>
      <w:pPr>
        <w:pStyle w:val="10"/>
        <w:keepNext w:val="0"/>
        <w:keepLines w:val="0"/>
        <w:widowControl/>
        <w:suppressLineNumbers w:val="0"/>
        <w:spacing w:before="0" w:beforeLines="0" w:beforeAutospacing="0" w:after="0" w:afterLines="0" w:afterAutospacing="0" w:line="33" w:lineRule="atLeast"/>
        <w:ind w:left="0" w:firstLine="600" w:firstLineChars="200"/>
        <w:jc w:val="both"/>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我单位</w:t>
      </w:r>
      <w:r>
        <w:rPr>
          <w:rFonts w:hint="eastAsia" w:ascii="仿宋_GB2312" w:hAnsi="仿宋_GB2312" w:eastAsia="仿宋_GB2312" w:cs="仿宋_GB2312"/>
          <w:sz w:val="30"/>
          <w:szCs w:val="30"/>
          <w:lang w:val="en-US" w:eastAsia="zh-CN"/>
        </w:rPr>
        <w:t>2024年严格执行年初部门预算，资金使用及管理规范，制度落实到位，绩效考核目标任务圆满完成，按照部门整体支出绩效评价指标体系对照打分得出结果97.87分，等级为优秀。</w:t>
      </w:r>
    </w:p>
    <w:p>
      <w:pPr>
        <w:pStyle w:val="10"/>
        <w:keepNext w:val="0"/>
        <w:keepLines w:val="0"/>
        <w:widowControl/>
        <w:numPr>
          <w:ilvl w:val="0"/>
          <w:numId w:val="0"/>
        </w:numPr>
        <w:suppressLineNumbers w:val="0"/>
        <w:spacing w:before="0" w:beforeLines="0" w:beforeAutospacing="0" w:after="0" w:afterLines="0" w:afterAutospacing="0" w:line="33" w:lineRule="atLeast"/>
        <w:ind w:right="0" w:rightChars="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0"/>
          <w:szCs w:val="30"/>
          <w:lang w:eastAsia="zh-CN"/>
        </w:rPr>
        <w:t>　　</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部门（单位）整体支出绩效情况</w:t>
      </w:r>
    </w:p>
    <w:p>
      <w:pPr>
        <w:spacing w:line="500" w:lineRule="exact"/>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bCs/>
          <w:sz w:val="30"/>
          <w:szCs w:val="30"/>
        </w:rPr>
        <w:t>（一）经济性</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val="0"/>
          <w:bCs w:val="0"/>
          <w:sz w:val="30"/>
          <w:szCs w:val="30"/>
          <w:lang w:eastAsia="zh-CN"/>
        </w:rPr>
        <w:t>本年预算配置控制较好，预算项目资金全部投入项目之中无结余。支出总额控制在预算总额内，我单位厉行节约措施取得成效，“三公”经费总体控制较好，未超本年预算。在预算管理方面，制度执行总体较为有效，但仍需强化，需进一步加强资金使用管理。</w:t>
      </w:r>
    </w:p>
    <w:p>
      <w:pPr>
        <w:spacing w:line="500" w:lineRule="exact"/>
        <w:ind w:firstLine="600" w:firstLineChars="200"/>
        <w:rPr>
          <w:rFonts w:hint="eastAsia" w:ascii="仿宋_GB2312" w:hAnsi="仿宋_GB2312" w:eastAsia="仿宋_GB2312" w:cs="仿宋_GB2312"/>
          <w:b w:val="0"/>
          <w:bCs w:val="0"/>
          <w:sz w:val="30"/>
          <w:szCs w:val="30"/>
          <w:lang w:eastAsia="zh-CN"/>
        </w:rPr>
      </w:pPr>
      <w:r>
        <w:rPr>
          <w:rFonts w:hint="eastAsia" w:ascii="仿宋_GB2312" w:hAnsi="仿宋_GB2312" w:eastAsia="仿宋_GB2312" w:cs="仿宋_GB2312"/>
          <w:b/>
          <w:bCs/>
          <w:sz w:val="30"/>
          <w:szCs w:val="30"/>
        </w:rPr>
        <w:t>（二）效率性和有效性</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val="0"/>
          <w:bCs w:val="0"/>
          <w:sz w:val="30"/>
          <w:szCs w:val="30"/>
          <w:lang w:eastAsia="zh-CN"/>
        </w:rPr>
        <w:t>对部门预算的发放使用严格按照相应的规章制度进行审核发放，做到资金有出必记，有账能查。对于争资立项中的群众生活资金补助严格按照国家相应的标准及时间实施银行转账支付，做到百分百按时按量发放。通过对困难群众的及时资金救助从而使困难群众能够摆脱生活困境，改善生活状况，使群众对政府的满意度不断提高，维护了社会的稳定，同时有利于促进政府以后的工作开展。</w:t>
      </w:r>
    </w:p>
    <w:p>
      <w:pPr>
        <w:spacing w:line="500" w:lineRule="exact"/>
        <w:ind w:firstLine="600" w:firstLineChars="200"/>
        <w:rPr>
          <w:rFonts w:hint="eastAsia" w:ascii="仿宋_GB2312" w:hAnsi="仿宋_GB2312" w:eastAsia="仿宋_GB2312" w:cs="仿宋_GB2312"/>
          <w:b w:val="0"/>
          <w:bCs w:val="0"/>
          <w:sz w:val="30"/>
          <w:szCs w:val="30"/>
          <w:lang w:eastAsia="zh-CN"/>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b/>
          <w:bCs/>
          <w:sz w:val="30"/>
          <w:szCs w:val="30"/>
          <w:lang w:eastAsia="zh-CN"/>
        </w:rPr>
        <w:t>三）可持续性。</w:t>
      </w:r>
      <w:r>
        <w:rPr>
          <w:rFonts w:hint="eastAsia" w:ascii="仿宋_GB2312" w:hAnsi="仿宋_GB2312" w:eastAsia="仿宋_GB2312" w:cs="仿宋_GB2312"/>
          <w:b w:val="0"/>
          <w:bCs w:val="0"/>
          <w:sz w:val="30"/>
          <w:szCs w:val="30"/>
          <w:lang w:eastAsia="zh-CN"/>
        </w:rPr>
        <w:t>我单位预算安排的基本支出保障了单位正常的工作运转，同时我单位坚持以人民为中心，不断推进全县民政事业发展，在民政资金的管理和使用上，严守法律底线、纪律底线、道德底线，长期保障工作平稳进行。各项救助资金的及时发放，保障了社会困难群众的生存发展权益，对调节社会矛盾，解决社会问题具有长期有限的影响。</w:t>
      </w:r>
    </w:p>
    <w:p>
      <w:pPr>
        <w:spacing w:line="500" w:lineRule="exact"/>
        <w:ind w:firstLine="600" w:firstLineChars="200"/>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b/>
          <w:bCs/>
          <w:sz w:val="30"/>
          <w:szCs w:val="30"/>
        </w:rPr>
        <w:t>（</w:t>
      </w:r>
      <w:r>
        <w:rPr>
          <w:rFonts w:hint="eastAsia" w:ascii="仿宋_GB2312" w:hAnsi="仿宋_GB2312" w:eastAsia="仿宋_GB2312" w:cs="仿宋_GB2312"/>
          <w:b/>
          <w:bCs/>
          <w:sz w:val="30"/>
          <w:szCs w:val="30"/>
          <w:lang w:eastAsia="zh-CN"/>
        </w:rPr>
        <w:t>四</w:t>
      </w:r>
      <w:r>
        <w:rPr>
          <w:rFonts w:hint="eastAsia" w:ascii="仿宋_GB2312" w:hAnsi="仿宋_GB2312" w:eastAsia="仿宋_GB2312" w:cs="仿宋_GB2312"/>
          <w:b/>
          <w:bCs/>
          <w:sz w:val="30"/>
          <w:szCs w:val="30"/>
        </w:rPr>
        <w:t>）社会和公众满意度</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val="0"/>
          <w:bCs w:val="0"/>
          <w:sz w:val="30"/>
          <w:szCs w:val="30"/>
          <w:lang w:eastAsia="zh-CN"/>
        </w:rPr>
        <w:t>我单位各项民政救助项目的开展，切实提升了社会公众对民政工作的知晓率，全面提升了社会和公众满意度。</w:t>
      </w:r>
    </w:p>
    <w:p>
      <w:pPr>
        <w:pStyle w:val="10"/>
        <w:keepNext w:val="0"/>
        <w:keepLines w:val="0"/>
        <w:widowControl/>
        <w:suppressLineNumbers w:val="0"/>
        <w:spacing w:before="0" w:beforeLines="0" w:beforeAutospacing="0" w:after="0" w:afterLines="0" w:afterAutospacing="0" w:line="33" w:lineRule="atLeast"/>
        <w:ind w:firstLine="600" w:firstLineChars="200"/>
        <w:jc w:val="both"/>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五、存在的主要问题</w:t>
      </w:r>
    </w:p>
    <w:p>
      <w:pPr>
        <w:pStyle w:val="10"/>
        <w:keepNext w:val="0"/>
        <w:keepLines w:val="0"/>
        <w:widowControl/>
        <w:suppressLineNumbers w:val="0"/>
        <w:spacing w:before="0" w:beforeLines="0" w:beforeAutospacing="0" w:after="0" w:afterLines="0" w:afterAutospacing="0" w:line="33" w:lineRule="atLeast"/>
        <w:ind w:firstLine="600" w:firstLineChars="200"/>
        <w:jc w:val="both"/>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1.各相关业务股室对绩效评价工作的重要性认识有待进一步提高。</w:t>
      </w:r>
    </w:p>
    <w:p>
      <w:pPr>
        <w:pStyle w:val="10"/>
        <w:keepNext w:val="0"/>
        <w:keepLines w:val="0"/>
        <w:widowControl/>
        <w:suppressLineNumbers w:val="0"/>
        <w:spacing w:before="0" w:beforeLines="0" w:beforeAutospacing="0" w:after="0" w:afterLines="0" w:afterAutospacing="0" w:line="33" w:lineRule="atLeast"/>
        <w:ind w:firstLine="600" w:firstLineChars="200"/>
        <w:jc w:val="both"/>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2.绩效目标设置有待科学提高。</w:t>
      </w:r>
    </w:p>
    <w:p>
      <w:pPr>
        <w:pStyle w:val="10"/>
        <w:keepNext w:val="0"/>
        <w:keepLines w:val="0"/>
        <w:widowControl/>
        <w:numPr>
          <w:ilvl w:val="0"/>
          <w:numId w:val="5"/>
        </w:numPr>
        <w:suppressLineNumbers w:val="0"/>
        <w:spacing w:before="0" w:beforeLines="0" w:beforeAutospacing="0" w:after="0" w:afterLines="0" w:afterAutospacing="0" w:line="33" w:lineRule="atLeast"/>
        <w:ind w:left="0" w:right="0" w:firstLine="600" w:firstLineChars="200"/>
        <w:jc w:val="both"/>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rPr>
        <w:t>改进措施和有关建议</w:t>
      </w:r>
    </w:p>
    <w:p>
      <w:pPr>
        <w:pStyle w:val="10"/>
        <w:keepNext w:val="0"/>
        <w:keepLines w:val="0"/>
        <w:widowControl/>
        <w:numPr>
          <w:ilvl w:val="0"/>
          <w:numId w:val="0"/>
        </w:numPr>
        <w:suppressLineNumbers w:val="0"/>
        <w:spacing w:before="0" w:beforeLines="0" w:beforeAutospacing="0" w:after="0" w:afterLines="0" w:afterAutospacing="0" w:line="33" w:lineRule="atLeast"/>
        <w:ind w:right="0" w:rightChars="0" w:firstLine="600" w:firstLineChars="200"/>
        <w:jc w:val="both"/>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1.加强财务人员的学习培训，加强单位财务人员新《预算法》《政府会计准则》和《政府会计制度》等相关方面的业务培训学习，规范部门预算收支核算，增强预算的约束力和严肃性，切实提高部门预算收支管理水平。</w:t>
      </w:r>
    </w:p>
    <w:p>
      <w:pPr>
        <w:pStyle w:val="10"/>
        <w:keepNext w:val="0"/>
        <w:keepLines w:val="0"/>
        <w:widowControl/>
        <w:numPr>
          <w:ilvl w:val="0"/>
          <w:numId w:val="0"/>
        </w:numPr>
        <w:suppressLineNumbers w:val="0"/>
        <w:spacing w:before="0" w:beforeLines="0" w:beforeAutospacing="0" w:after="0" w:afterLines="0" w:afterAutospacing="0" w:line="33" w:lineRule="atLeast"/>
        <w:ind w:right="0" w:rightChars="0" w:firstLine="600" w:firstLineChars="200"/>
        <w:jc w:val="both"/>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2.继续抓好三公经费控制管理。进一步细化三公经费的管理，合理压缩三公经费支出。</w:t>
      </w:r>
    </w:p>
    <w:p>
      <w:pPr>
        <w:pStyle w:val="10"/>
        <w:keepNext w:val="0"/>
        <w:keepLines w:val="0"/>
        <w:widowControl/>
        <w:numPr>
          <w:ilvl w:val="0"/>
          <w:numId w:val="0"/>
        </w:numPr>
        <w:suppressLineNumbers w:val="0"/>
        <w:spacing w:before="0" w:beforeLines="0" w:beforeAutospacing="0" w:after="0" w:afterLines="0" w:afterAutospacing="0" w:line="33" w:lineRule="atLeast"/>
        <w:ind w:right="0" w:rightChars="0" w:firstLine="600" w:firstLineChars="200"/>
        <w:jc w:val="both"/>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3.加强项目开展进度的跟踪，督促各业务股室及时开展项目绩效评价，确保项目绩效目标的完成。</w:t>
      </w:r>
    </w:p>
    <w:p>
      <w:pPr>
        <w:pStyle w:val="15"/>
        <w:spacing w:line="600" w:lineRule="exact"/>
        <w:ind w:firstLine="640" w:firstLineChars="200"/>
        <w:rPr>
          <w:rFonts w:ascii="Times New Roman" w:hAnsi="Times New Roman" w:eastAsia="仿宋_GB2312" w:cs="Times New Roman"/>
          <w:sz w:val="32"/>
          <w:szCs w:val="32"/>
        </w:rPr>
      </w:pPr>
    </w:p>
    <w:p>
      <w:pPr>
        <w:pStyle w:val="15"/>
        <w:jc w:val="center"/>
        <w:rPr>
          <w:rFonts w:ascii="Times New Roman" w:hAnsi="Times New Roman" w:cs="Times New Roman"/>
          <w:sz w:val="72"/>
          <w:szCs w:val="72"/>
        </w:rPr>
      </w:pPr>
    </w:p>
    <w:p>
      <w:pPr>
        <w:pStyle w:val="15"/>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0B70E4-8BF6-4554-BCDF-C3E5D4E285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2" w:fontKey="{A45B10D5-EA1B-4B5C-83A4-4CA752788E37}"/>
  </w:font>
  <w:font w:name="仿宋_GB2312">
    <w:panose1 w:val="02010609030101010101"/>
    <w:charset w:val="86"/>
    <w:family w:val="modern"/>
    <w:pitch w:val="default"/>
    <w:sig w:usb0="00000001" w:usb1="080E0000" w:usb2="00000000" w:usb3="00000000" w:csb0="00040000" w:csb1="00000000"/>
    <w:embedRegular r:id="rId3" w:fontKey="{10434B40-5F88-4AD3-AB5C-8E19E270AD5B}"/>
  </w:font>
  <w:font w:name="楷体_GB2312">
    <w:panose1 w:val="02010609030101010101"/>
    <w:charset w:val="86"/>
    <w:family w:val="modern"/>
    <w:pitch w:val="default"/>
    <w:sig w:usb0="00000001" w:usb1="080E0000" w:usb2="00000000" w:usb3="00000000" w:csb0="00040000" w:csb1="00000000"/>
    <w:embedRegular r:id="rId4" w:fontKey="{F01A2960-F2FD-447A-A096-0DC09731EC70}"/>
  </w:font>
  <w:font w:name="华文中宋">
    <w:altName w:val="宋体"/>
    <w:panose1 w:val="02010600040101010101"/>
    <w:charset w:val="86"/>
    <w:family w:val="auto"/>
    <w:pitch w:val="default"/>
    <w:sig w:usb0="00000000" w:usb1="00000000" w:usb2="00000010" w:usb3="00000000" w:csb0="0004009F" w:csb1="00000000"/>
    <w:embedRegular r:id="rId5" w:fontKey="{C7120744-B937-4314-8B45-BC14BD52874F}"/>
  </w:font>
  <w:font w:name="楷体">
    <w:panose1 w:val="02010609060101010101"/>
    <w:charset w:val="86"/>
    <w:family w:val="modern"/>
    <w:pitch w:val="default"/>
    <w:sig w:usb0="800002BF" w:usb1="38CF7CFA" w:usb2="00000016" w:usb3="00000000" w:csb0="00040001" w:csb1="00000000"/>
    <w:embedRegular r:id="rId6" w:fontKey="{95F43B48-B187-4655-A38E-CCFDD453B126}"/>
  </w:font>
  <w:font w:name="仿宋">
    <w:panose1 w:val="02010609060101010101"/>
    <w:charset w:val="86"/>
    <w:family w:val="modern"/>
    <w:pitch w:val="default"/>
    <w:sig w:usb0="800002BF" w:usb1="38CF7CFA" w:usb2="00000016" w:usb3="00000000" w:csb0="00040001" w:csb1="00000000"/>
    <w:embedRegular r:id="rId7" w:fontKey="{316AC3B3-9DF2-48B7-B8E1-FC2C06DF4D1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9EE86B"/>
    <w:multiLevelType w:val="singleLevel"/>
    <w:tmpl w:val="BA9EE86B"/>
    <w:lvl w:ilvl="0" w:tentative="0">
      <w:start w:val="2"/>
      <w:numFmt w:val="chineseCounting"/>
      <w:suff w:val="nothing"/>
      <w:lvlText w:val="（%1）"/>
      <w:lvlJc w:val="left"/>
      <w:rPr>
        <w:rFonts w:hint="eastAsia"/>
      </w:rPr>
    </w:lvl>
  </w:abstractNum>
  <w:abstractNum w:abstractNumId="1">
    <w:nsid w:val="BC9D825B"/>
    <w:multiLevelType w:val="singleLevel"/>
    <w:tmpl w:val="BC9D825B"/>
    <w:lvl w:ilvl="0" w:tentative="0">
      <w:start w:val="6"/>
      <w:numFmt w:val="chineseCounting"/>
      <w:suff w:val="nothing"/>
      <w:lvlText w:val="%1、"/>
      <w:lvlJc w:val="left"/>
      <w:rPr>
        <w:rFonts w:hint="eastAsia"/>
      </w:rPr>
    </w:lvl>
  </w:abstractNum>
  <w:abstractNum w:abstractNumId="2">
    <w:nsid w:val="C8D76CA8"/>
    <w:multiLevelType w:val="singleLevel"/>
    <w:tmpl w:val="C8D76CA8"/>
    <w:lvl w:ilvl="0" w:tentative="0">
      <w:start w:val="3"/>
      <w:numFmt w:val="decimal"/>
      <w:suff w:val="nothing"/>
      <w:lvlText w:val="%1．"/>
      <w:lvlJc w:val="left"/>
    </w:lvl>
  </w:abstractNum>
  <w:abstractNum w:abstractNumId="3">
    <w:nsid w:val="F6C885BD"/>
    <w:multiLevelType w:val="singleLevel"/>
    <w:tmpl w:val="F6C885BD"/>
    <w:lvl w:ilvl="0" w:tentative="0">
      <w:start w:val="1"/>
      <w:numFmt w:val="decimal"/>
      <w:lvlText w:val="%1."/>
      <w:lvlJc w:val="left"/>
      <w:pPr>
        <w:tabs>
          <w:tab w:val="left" w:pos="312"/>
        </w:tabs>
      </w:pPr>
    </w:lvl>
  </w:abstractNum>
  <w:abstractNum w:abstractNumId="4">
    <w:nsid w:val="3B438DF0"/>
    <w:multiLevelType w:val="singleLevel"/>
    <w:tmpl w:val="3B438DF0"/>
    <w:lvl w:ilvl="0" w:tentative="0">
      <w:start w:val="3"/>
      <w:numFmt w:val="decimal"/>
      <w:suff w:val="nothing"/>
      <w:lvlText w:val="%1、"/>
      <w:lvlJc w:val="left"/>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EB57233"/>
    <w:rsid w:val="1D97DEFF"/>
    <w:rsid w:val="1DFF72E5"/>
    <w:rsid w:val="1EFC6F07"/>
    <w:rsid w:val="25DE634B"/>
    <w:rsid w:val="28370B84"/>
    <w:rsid w:val="2A1C5276"/>
    <w:rsid w:val="2FDF85B8"/>
    <w:rsid w:val="2FFFEE04"/>
    <w:rsid w:val="34DF85B0"/>
    <w:rsid w:val="35C70DAB"/>
    <w:rsid w:val="36A12401"/>
    <w:rsid w:val="3B8F36BC"/>
    <w:rsid w:val="491FF225"/>
    <w:rsid w:val="4F163C27"/>
    <w:rsid w:val="4FFD214C"/>
    <w:rsid w:val="501D5308"/>
    <w:rsid w:val="516640DA"/>
    <w:rsid w:val="5777D4F5"/>
    <w:rsid w:val="59DD8326"/>
    <w:rsid w:val="5DEF592A"/>
    <w:rsid w:val="5FC6BB1E"/>
    <w:rsid w:val="5FF720F1"/>
    <w:rsid w:val="63A14612"/>
    <w:rsid w:val="67DB60AE"/>
    <w:rsid w:val="67FF5C0B"/>
    <w:rsid w:val="6EFC0924"/>
    <w:rsid w:val="6FB74722"/>
    <w:rsid w:val="6FEF8B7E"/>
    <w:rsid w:val="71A6591B"/>
    <w:rsid w:val="737D59BA"/>
    <w:rsid w:val="77C37683"/>
    <w:rsid w:val="79D19834"/>
    <w:rsid w:val="79FF515B"/>
    <w:rsid w:val="7E9E1962"/>
    <w:rsid w:val="7E9F11B4"/>
    <w:rsid w:val="7F37EC1E"/>
    <w:rsid w:val="7F3858D7"/>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w:basedOn w:val="5"/>
    <w:qFormat/>
    <w:uiPriority w:val="99"/>
    <w:pPr>
      <w:ind w:firstLine="420" w:firstLineChars="100"/>
    </w:pPr>
  </w:style>
  <w:style w:type="paragraph" w:styleId="5">
    <w:name w:val="Body Text"/>
    <w:basedOn w:val="1"/>
    <w:next w:val="1"/>
    <w:qFormat/>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2"/>
    <w:semiHidden/>
    <w:qFormat/>
    <w:uiPriority w:val="0"/>
    <w:pPr>
      <w:snapToGrid w:val="0"/>
      <w:jc w:val="left"/>
    </w:pPr>
    <w:rPr>
      <w:sz w:val="18"/>
      <w:szCs w:val="18"/>
    </w:rPr>
  </w:style>
  <w:style w:type="paragraph" w:styleId="10">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Lines="0" w:beforeAutospacing="0" w:after="0" w:afterLines="0" w:afterAutospacing="0"/>
      <w:ind w:left="0" w:right="0"/>
      <w:jc w:val="left"/>
    </w:pPr>
    <w:rPr>
      <w:kern w:val="0"/>
      <w:sz w:val="24"/>
      <w:lang w:val="en-US" w:eastAsia="zh-CN" w:bidi="ar-SA"/>
    </w:rPr>
  </w:style>
  <w:style w:type="character" w:customStyle="1" w:styleId="13">
    <w:name w:val="页眉 Char"/>
    <w:basedOn w:val="11"/>
    <w:link w:val="8"/>
    <w:qFormat/>
    <w:uiPriority w:val="99"/>
    <w:rPr>
      <w:sz w:val="18"/>
      <w:szCs w:val="18"/>
    </w:rPr>
  </w:style>
  <w:style w:type="character" w:customStyle="1" w:styleId="14">
    <w:name w:val="页脚 Char"/>
    <w:basedOn w:val="11"/>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1"/>
    <w:link w:val="6"/>
    <w:semiHidden/>
    <w:qFormat/>
    <w:uiPriority w:val="99"/>
    <w:rPr>
      <w:sz w:val="18"/>
      <w:szCs w:val="18"/>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21"/>
    <w:basedOn w:val="11"/>
    <w:qFormat/>
    <w:uiPriority w:val="0"/>
    <w:rPr>
      <w:rFonts w:hint="eastAsia" w:ascii="宋体" w:hAnsi="宋体" w:eastAsia="宋体" w:cs="宋体"/>
      <w:color w:val="000000"/>
      <w:sz w:val="24"/>
      <w:szCs w:val="24"/>
      <w:u w:val="none"/>
    </w:rPr>
  </w:style>
  <w:style w:type="character" w:customStyle="1" w:styleId="20">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2452</Words>
  <Characters>3147</Characters>
  <Lines>69</Lines>
  <Paragraphs>19</Paragraphs>
  <TotalTime>5</TotalTime>
  <ScaleCrop>false</ScaleCrop>
  <LinksUpToDate>false</LinksUpToDate>
  <CharactersWithSpaces>3345</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Administrator</cp:lastModifiedBy>
  <cp:lastPrinted>2024-08-08T18:20:00Z</cp:lastPrinted>
  <dcterms:modified xsi:type="dcterms:W3CDTF">2025-09-18T02:20:22Z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BB7B6AA21D207914D6FDA268992A22D6</vt:lpwstr>
  </property>
  <property fmtid="{D5CDD505-2E9C-101B-9397-08002B2CF9AE}" pid="4" name="KSOTemplateDocerSaveRecord">
    <vt:lpwstr>eyJoZGlkIjoiYWQzYmVjOTA2M2FiMWM3ZTZkNDIyY2NhY2I0MGU0YmUifQ==</vt:lpwstr>
  </property>
</Properties>
</file>