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7D51F">
      <w:pPr>
        <w:pStyle w:val="17"/>
        <w:jc w:val="both"/>
        <w:rPr>
          <w:rFonts w:hAnsi="黑体"/>
          <w:sz w:val="36"/>
          <w:szCs w:val="36"/>
        </w:rPr>
      </w:pPr>
      <w:bookmarkStart w:id="3" w:name="_GoBack"/>
      <w:bookmarkEnd w:id="3"/>
      <w:r>
        <w:rPr>
          <w:rFonts w:hint="eastAsia" w:hAnsi="黑体"/>
          <w:sz w:val="36"/>
          <w:szCs w:val="36"/>
        </w:rPr>
        <w:t>附件1</w:t>
      </w:r>
    </w:p>
    <w:p w14:paraId="35E72524">
      <w:pPr>
        <w:pStyle w:val="17"/>
        <w:jc w:val="center"/>
        <w:rPr>
          <w:rFonts w:ascii="Times New Roman" w:hAnsi="Times New Roman" w:cs="Times New Roman"/>
          <w:sz w:val="56"/>
          <w:szCs w:val="56"/>
        </w:rPr>
      </w:pPr>
    </w:p>
    <w:p w14:paraId="342C2AEC">
      <w:pPr>
        <w:pStyle w:val="17"/>
        <w:jc w:val="center"/>
        <w:rPr>
          <w:rFonts w:ascii="Times New Roman" w:hAnsi="Times New Roman" w:cs="Times New Roman"/>
          <w:sz w:val="84"/>
          <w:szCs w:val="84"/>
        </w:rPr>
      </w:pPr>
    </w:p>
    <w:p w14:paraId="172A23B9">
      <w:pPr>
        <w:pStyle w:val="17"/>
        <w:jc w:val="center"/>
        <w:rPr>
          <w:rFonts w:ascii="Times New Roman" w:hAnsi="Times New Roman" w:cs="Times New Roman"/>
          <w:sz w:val="84"/>
          <w:szCs w:val="84"/>
        </w:rPr>
      </w:pPr>
    </w:p>
    <w:p w14:paraId="689329C2">
      <w:pPr>
        <w:pStyle w:val="17"/>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700D076E">
      <w:pPr>
        <w:pStyle w:val="17"/>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蓝山县林业局</w:t>
      </w:r>
      <w:r>
        <w:rPr>
          <w:rFonts w:ascii="Times New Roman" w:hAnsi="Times New Roman" w:eastAsia="方正小标宋简体" w:cs="Times New Roman"/>
          <w:sz w:val="72"/>
          <w:szCs w:val="72"/>
        </w:rPr>
        <w:t>部门决算</w:t>
      </w:r>
    </w:p>
    <w:p w14:paraId="095F6875">
      <w:pPr>
        <w:pStyle w:val="17"/>
        <w:jc w:val="center"/>
        <w:rPr>
          <w:rFonts w:ascii="Times New Roman" w:hAnsi="Times New Roman" w:eastAsia="方正小标宋_GBK" w:cs="Times New Roman"/>
          <w:sz w:val="56"/>
          <w:szCs w:val="56"/>
        </w:rPr>
      </w:pPr>
    </w:p>
    <w:p w14:paraId="0BFCFC62">
      <w:pPr>
        <w:pStyle w:val="17"/>
        <w:jc w:val="center"/>
        <w:rPr>
          <w:rFonts w:ascii="Times New Roman" w:hAnsi="Times New Roman" w:cs="Times New Roman"/>
          <w:sz w:val="56"/>
          <w:szCs w:val="56"/>
        </w:rPr>
      </w:pPr>
    </w:p>
    <w:p w14:paraId="517900D9">
      <w:pPr>
        <w:pStyle w:val="17"/>
        <w:rPr>
          <w:rFonts w:ascii="Times New Roman" w:hAnsi="Times New Roman" w:cs="Times New Roman"/>
          <w:sz w:val="56"/>
          <w:szCs w:val="56"/>
        </w:rPr>
      </w:pPr>
    </w:p>
    <w:p w14:paraId="5C66712D">
      <w:pPr>
        <w:pStyle w:val="17"/>
        <w:jc w:val="center"/>
        <w:rPr>
          <w:rFonts w:ascii="Times New Roman" w:hAnsi="Times New Roman" w:cs="Times New Roman"/>
          <w:sz w:val="32"/>
          <w:szCs w:val="32"/>
        </w:rPr>
      </w:pPr>
    </w:p>
    <w:p w14:paraId="65EAC5EA">
      <w:pPr>
        <w:pStyle w:val="17"/>
        <w:jc w:val="center"/>
        <w:rPr>
          <w:rFonts w:ascii="Times New Roman" w:hAnsi="Times New Roman" w:cs="Times New Roman"/>
          <w:sz w:val="32"/>
          <w:szCs w:val="32"/>
        </w:rPr>
      </w:pPr>
    </w:p>
    <w:p w14:paraId="3694A99C">
      <w:pPr>
        <w:pStyle w:val="17"/>
        <w:jc w:val="center"/>
        <w:rPr>
          <w:rFonts w:ascii="Times New Roman" w:hAnsi="Times New Roman" w:cs="Times New Roman"/>
          <w:sz w:val="32"/>
          <w:szCs w:val="32"/>
        </w:rPr>
      </w:pPr>
    </w:p>
    <w:p w14:paraId="3ED044F2">
      <w:pPr>
        <w:pStyle w:val="17"/>
        <w:jc w:val="center"/>
        <w:rPr>
          <w:rFonts w:ascii="Times New Roman" w:hAnsi="Times New Roman" w:cs="Times New Roman"/>
          <w:sz w:val="32"/>
          <w:szCs w:val="32"/>
        </w:rPr>
      </w:pPr>
    </w:p>
    <w:p w14:paraId="542254D9">
      <w:pPr>
        <w:pStyle w:val="17"/>
        <w:jc w:val="center"/>
        <w:rPr>
          <w:rFonts w:ascii="Times New Roman" w:hAnsi="Times New Roman" w:cs="Times New Roman"/>
          <w:sz w:val="32"/>
          <w:szCs w:val="32"/>
        </w:rPr>
      </w:pPr>
    </w:p>
    <w:p w14:paraId="603F1D83">
      <w:pPr>
        <w:pStyle w:val="17"/>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63BEFB8B">
      <w:pPr>
        <w:pStyle w:val="17"/>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58CD46E8">
      <w:pPr>
        <w:pStyle w:val="17"/>
        <w:spacing w:line="600" w:lineRule="exact"/>
        <w:jc w:val="center"/>
        <w:rPr>
          <w:rFonts w:ascii="Times New Roman" w:hAnsi="Times New Roman" w:cs="Times New Roman"/>
          <w:b/>
          <w:sz w:val="36"/>
          <w:szCs w:val="28"/>
        </w:rPr>
      </w:pPr>
    </w:p>
    <w:p w14:paraId="4162FE78">
      <w:pPr>
        <w:pStyle w:val="17"/>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蓝山县林业局</w:t>
      </w:r>
      <w:r>
        <w:rPr>
          <w:rFonts w:ascii="Times New Roman" w:hAnsi="Times New Roman" w:cs="Times New Roman"/>
          <w:bCs/>
          <w:sz w:val="32"/>
          <w:szCs w:val="32"/>
        </w:rPr>
        <w:t>概况</w:t>
      </w:r>
    </w:p>
    <w:p w14:paraId="3F31E9EB">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172D8B14">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4BEEB608">
      <w:pPr>
        <w:pStyle w:val="17"/>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4C5F0BA">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356AC669">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5B6D3EEE">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0EF59AE6">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32314635">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34864A30">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0E751F5D">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3961C131">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3E622546">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04814BA2">
      <w:pPr>
        <w:pStyle w:val="17"/>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01437A45">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1B0516AF">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3D89020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2F0879C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09AF391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7238E76E">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0CA56A2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65C4D14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1E6D317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39AE8AA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5B4DB7A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70A6B53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4F23583B">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056C9366">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79AE2CF9">
      <w:pPr>
        <w:pStyle w:val="17"/>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1E1B8F6B">
      <w:pPr>
        <w:pStyle w:val="17"/>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3947523C">
      <w:pPr>
        <w:pStyle w:val="17"/>
        <w:spacing w:line="600" w:lineRule="exact"/>
        <w:rPr>
          <w:rFonts w:ascii="Times New Roman" w:hAnsi="Times New Roman" w:cs="Times New Roman"/>
          <w:bCs/>
          <w:sz w:val="28"/>
          <w:szCs w:val="28"/>
        </w:rPr>
      </w:pPr>
    </w:p>
    <w:p w14:paraId="1340F59C">
      <w:pPr>
        <w:jc w:val="center"/>
        <w:rPr>
          <w:rFonts w:ascii="Times New Roman" w:hAnsi="Times New Roman" w:cs="Times New Roman"/>
          <w:sz w:val="72"/>
          <w:szCs w:val="72"/>
        </w:rPr>
      </w:pPr>
    </w:p>
    <w:p w14:paraId="1762E0EC">
      <w:pPr>
        <w:jc w:val="center"/>
        <w:rPr>
          <w:rFonts w:ascii="Times New Roman" w:hAnsi="Times New Roman" w:cs="Times New Roman"/>
          <w:sz w:val="72"/>
          <w:szCs w:val="72"/>
        </w:rPr>
      </w:pPr>
    </w:p>
    <w:p w14:paraId="37553083">
      <w:pPr>
        <w:jc w:val="center"/>
        <w:rPr>
          <w:rFonts w:ascii="Times New Roman" w:hAnsi="Times New Roman" w:cs="Times New Roman"/>
          <w:sz w:val="72"/>
          <w:szCs w:val="72"/>
        </w:rPr>
      </w:pPr>
    </w:p>
    <w:p w14:paraId="11A0215C">
      <w:pPr>
        <w:pStyle w:val="11"/>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6691B69C">
      <w:pPr>
        <w:rPr>
          <w:rFonts w:ascii="Times New Roman" w:hAnsi="Times New Roman" w:eastAsia="方正小标宋_GBK" w:cs="Times New Roman"/>
          <w:sz w:val="72"/>
          <w:szCs w:val="72"/>
        </w:rPr>
      </w:pPr>
    </w:p>
    <w:p w14:paraId="11D09575">
      <w:pPr>
        <w:pStyle w:val="17"/>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46BDFB77">
      <w:pPr>
        <w:pStyle w:val="17"/>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蓝山县林业局</w:t>
      </w:r>
      <w:r>
        <w:rPr>
          <w:rFonts w:ascii="Times New Roman" w:hAnsi="Times New Roman" w:eastAsia="方正小标宋_GBK" w:cs="Times New Roman"/>
          <w:sz w:val="52"/>
          <w:szCs w:val="52"/>
        </w:rPr>
        <w:t>概况</w:t>
      </w:r>
    </w:p>
    <w:p w14:paraId="54E3405C">
      <w:pPr>
        <w:pStyle w:val="7"/>
        <w:ind w:left="0" w:leftChars="0" w:firstLine="0" w:firstLineChars="0"/>
        <w:rPr>
          <w:rFonts w:ascii="Times New Roman" w:hAnsi="Times New Roman" w:cs="Times New Roman"/>
        </w:rPr>
      </w:pPr>
    </w:p>
    <w:p w14:paraId="6EE6A4B4">
      <w:pPr>
        <w:pStyle w:val="18"/>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59335A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u w:val="none"/>
          <w:shd w:val="clear" w:color="auto" w:fill="FFFFFF"/>
          <w:lang w:val="en-US" w:eastAsia="zh-CN"/>
        </w:rPr>
        <w:t>蓝山县林业局是县政</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府工作部门，为正科级，由县自然资源局统一领导和管理。主要职责包括：</w:t>
      </w:r>
    </w:p>
    <w:p w14:paraId="4E3CF18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负责全县林业</w:t>
      </w:r>
      <w:r>
        <w:rPr>
          <w:rFonts w:hint="eastAsia" w:ascii="仿宋_GB2312" w:hAnsi="仿宋_GB2312" w:eastAsia="仿宋_GB2312" w:cs="仿宋_GB2312"/>
          <w:sz w:val="32"/>
          <w:szCs w:val="32"/>
          <w:lang w:eastAsia="zh-CN"/>
        </w:rPr>
        <w:t>和草原</w:t>
      </w:r>
      <w:r>
        <w:rPr>
          <w:rFonts w:hint="eastAsia" w:ascii="仿宋_GB2312" w:hAnsi="仿宋_GB2312" w:eastAsia="仿宋_GB2312" w:cs="仿宋_GB2312"/>
          <w:sz w:val="32"/>
          <w:szCs w:val="32"/>
        </w:rPr>
        <w:t>及其生态</w:t>
      </w:r>
      <w:r>
        <w:rPr>
          <w:rFonts w:hint="eastAsia" w:ascii="仿宋_GB2312" w:hAnsi="仿宋_GB2312" w:eastAsia="仿宋_GB2312" w:cs="仿宋_GB2312"/>
          <w:sz w:val="32"/>
          <w:szCs w:val="32"/>
          <w:lang w:eastAsia="zh-CN"/>
        </w:rPr>
        <w:t>保护修复</w:t>
      </w:r>
      <w:r>
        <w:rPr>
          <w:rFonts w:hint="eastAsia" w:ascii="仿宋_GB2312" w:hAnsi="仿宋_GB2312" w:eastAsia="仿宋_GB2312" w:cs="仿宋_GB2312"/>
          <w:sz w:val="32"/>
          <w:szCs w:val="32"/>
        </w:rPr>
        <w:t>的监督管理。</w:t>
      </w:r>
    </w:p>
    <w:p w14:paraId="5B96990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组织</w:t>
      </w:r>
      <w:r>
        <w:rPr>
          <w:rFonts w:hint="eastAsia" w:ascii="仿宋_GB2312" w:hAnsi="仿宋_GB2312" w:eastAsia="仿宋_GB2312" w:cs="仿宋_GB2312"/>
          <w:sz w:val="32"/>
          <w:szCs w:val="32"/>
          <w:lang w:eastAsia="zh-CN"/>
        </w:rPr>
        <w:t>全县林业和草原生态保护修复和造林绿化工作。承担县绿化委员会的具体工作</w:t>
      </w:r>
      <w:r>
        <w:rPr>
          <w:rFonts w:hint="eastAsia" w:ascii="仿宋_GB2312" w:hAnsi="仿宋_GB2312" w:eastAsia="仿宋_GB2312" w:cs="仿宋_GB2312"/>
          <w:sz w:val="32"/>
          <w:szCs w:val="32"/>
        </w:rPr>
        <w:t>。</w:t>
      </w:r>
    </w:p>
    <w:p w14:paraId="272FB54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负责全县森林、草原、湿地资源的监督管理</w:t>
      </w:r>
      <w:r>
        <w:rPr>
          <w:rFonts w:hint="eastAsia" w:ascii="仿宋_GB2312" w:hAnsi="仿宋_GB2312" w:eastAsia="仿宋_GB2312" w:cs="仿宋_GB2312"/>
          <w:sz w:val="32"/>
          <w:szCs w:val="32"/>
        </w:rPr>
        <w:t>。</w:t>
      </w:r>
    </w:p>
    <w:p w14:paraId="7EF0F2E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负责监督管理全县石漠化防治工作。</w:t>
      </w:r>
    </w:p>
    <w:p w14:paraId="3BCB119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负责全县陆生野生动植物资源监督管理。</w:t>
      </w:r>
    </w:p>
    <w:p w14:paraId="58520B1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负责监督管理全县各类自然保护地</w:t>
      </w:r>
      <w:r>
        <w:rPr>
          <w:rFonts w:hint="eastAsia" w:ascii="仿宋_GB2312" w:hAnsi="仿宋_GB2312" w:eastAsia="仿宋_GB2312" w:cs="仿宋_GB2312"/>
          <w:sz w:val="32"/>
          <w:szCs w:val="32"/>
        </w:rPr>
        <w:t>。</w:t>
      </w:r>
    </w:p>
    <w:p w14:paraId="3E6A9E6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负责</w:t>
      </w:r>
      <w:r>
        <w:rPr>
          <w:rFonts w:hint="eastAsia" w:ascii="仿宋_GB2312" w:hAnsi="仿宋_GB2312" w:eastAsia="仿宋_GB2312" w:cs="仿宋_GB2312"/>
          <w:sz w:val="32"/>
          <w:szCs w:val="32"/>
          <w:lang w:eastAsia="zh-CN"/>
        </w:rPr>
        <w:t>推进全县</w:t>
      </w:r>
      <w:r>
        <w:rPr>
          <w:rFonts w:hint="eastAsia" w:ascii="仿宋_GB2312" w:hAnsi="仿宋_GB2312" w:eastAsia="仿宋_GB2312" w:cs="仿宋_GB2312"/>
          <w:sz w:val="32"/>
          <w:szCs w:val="32"/>
        </w:rPr>
        <w:t>林业</w:t>
      </w:r>
      <w:r>
        <w:rPr>
          <w:rFonts w:hint="eastAsia" w:ascii="仿宋_GB2312" w:hAnsi="仿宋_GB2312" w:eastAsia="仿宋_GB2312" w:cs="仿宋_GB2312"/>
          <w:sz w:val="32"/>
          <w:szCs w:val="32"/>
          <w:lang w:eastAsia="zh-CN"/>
        </w:rPr>
        <w:t>和草原改革相关工作。</w:t>
      </w:r>
    </w:p>
    <w:p w14:paraId="7E22B12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拟订林业和草原资源优化配置及木材利用政策</w:t>
      </w:r>
      <w:r>
        <w:rPr>
          <w:rFonts w:hint="eastAsia" w:ascii="仿宋_GB2312" w:hAnsi="仿宋_GB2312" w:eastAsia="仿宋_GB2312" w:cs="仿宋_GB2312"/>
          <w:sz w:val="32"/>
          <w:szCs w:val="32"/>
        </w:rPr>
        <w:t>。</w:t>
      </w:r>
    </w:p>
    <w:p w14:paraId="138294F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指导国有林场、集体林场基本建设和发展，负责基层林业工作机构的建设和管理等。</w:t>
      </w:r>
    </w:p>
    <w:p w14:paraId="7A2DA95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指导全县森林公安工作，监督管理森林公安队伍，指导全县林业重大违法案件的查处，负责相关行政执法监督工作，指导林区社会治安治理工作</w:t>
      </w:r>
      <w:r>
        <w:rPr>
          <w:rFonts w:hint="eastAsia" w:ascii="仿宋_GB2312" w:hAnsi="仿宋_GB2312" w:eastAsia="仿宋_GB2312" w:cs="仿宋_GB2312"/>
          <w:sz w:val="32"/>
          <w:szCs w:val="32"/>
        </w:rPr>
        <w:t>。</w:t>
      </w:r>
    </w:p>
    <w:p w14:paraId="3241293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负责落实综合防灾减灾规划相关要求</w:t>
      </w:r>
      <w:r>
        <w:rPr>
          <w:rFonts w:hint="eastAsia" w:ascii="仿宋_GB2312" w:hAnsi="仿宋_GB2312" w:eastAsia="仿宋_GB2312" w:cs="仿宋_GB2312"/>
          <w:sz w:val="32"/>
          <w:szCs w:val="32"/>
        </w:rPr>
        <w:t>。</w:t>
      </w:r>
    </w:p>
    <w:p w14:paraId="39CC854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监督管理林业和草原资金和国有资产，提出林业和草原预算内投资、组织实施林业和草原生态补偿工作</w:t>
      </w:r>
      <w:r>
        <w:rPr>
          <w:rFonts w:hint="eastAsia" w:ascii="仿宋_GB2312" w:hAnsi="仿宋_GB2312" w:eastAsia="仿宋_GB2312" w:cs="仿宋_GB2312"/>
          <w:sz w:val="32"/>
          <w:szCs w:val="32"/>
        </w:rPr>
        <w:t>。</w:t>
      </w:r>
    </w:p>
    <w:p w14:paraId="27C8EA0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eastAsia="zh-CN"/>
        </w:rPr>
        <w:t>负责林业和草原科技、教育和外事工作，指导全县林业和草原人才队伍建设。</w:t>
      </w:r>
    </w:p>
    <w:p w14:paraId="2013C1D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lang w:eastAsia="zh-CN"/>
        </w:rPr>
        <w:t>完成县委、县政府交办的其他任务</w:t>
      </w:r>
      <w:r>
        <w:rPr>
          <w:rFonts w:hint="eastAsia" w:ascii="仿宋_GB2312" w:hAnsi="仿宋_GB2312" w:eastAsia="仿宋_GB2312" w:cs="仿宋_GB2312"/>
          <w:sz w:val="32"/>
          <w:szCs w:val="32"/>
        </w:rPr>
        <w:t>。</w:t>
      </w:r>
    </w:p>
    <w:p w14:paraId="44B464D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lang w:eastAsia="zh-CN"/>
        </w:rPr>
        <w:t>职能转变。</w:t>
      </w:r>
    </w:p>
    <w:p w14:paraId="6D2FF514">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65D4535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i w:val="0"/>
          <w:caps w:val="0"/>
          <w:color w:val="auto"/>
          <w:spacing w:val="0"/>
          <w:sz w:val="32"/>
          <w:szCs w:val="32"/>
          <w:shd w:val="clear" w:color="auto" w:fill="FFFFFF"/>
          <w:lang w:val="en-US" w:eastAsia="zh-CN"/>
        </w:rPr>
      </w:pPr>
      <w:r>
        <w:rPr>
          <w:rFonts w:ascii="Times New Roman" w:hAnsi="Times New Roman" w:eastAsia="仿宋_GB2312" w:cs="Times New Roman"/>
          <w:bCs/>
          <w:kern w:val="0"/>
          <w:sz w:val="32"/>
          <w:szCs w:val="32"/>
        </w:rPr>
        <w:t>（一）内设机构设置。</w:t>
      </w:r>
      <w:r>
        <w:rPr>
          <w:rFonts w:hint="default" w:ascii="Times New Roman" w:hAnsi="Times New Roman" w:eastAsia="仿宋_GB2312" w:cs="Times New Roman"/>
          <w:sz w:val="32"/>
          <w:szCs w:val="32"/>
          <w:lang w:val="en-US" w:eastAsia="zh-CN"/>
        </w:rPr>
        <w:t>蓝山</w:t>
      </w:r>
      <w:r>
        <w:rPr>
          <w:rFonts w:hint="default" w:ascii="Times New Roman" w:hAnsi="Times New Roman" w:eastAsia="仿宋_GB2312" w:cs="Times New Roman"/>
          <w:b w:val="0"/>
          <w:bCs w:val="0"/>
          <w:i w:val="0"/>
          <w:caps w:val="0"/>
          <w:color w:val="auto"/>
          <w:spacing w:val="0"/>
          <w:sz w:val="32"/>
          <w:szCs w:val="32"/>
          <w:shd w:val="clear" w:color="auto" w:fill="FFFFFF"/>
          <w:lang w:eastAsia="zh-CN"/>
        </w:rPr>
        <w:t>县林业局</w:t>
      </w:r>
      <w:r>
        <w:rPr>
          <w:rFonts w:hint="default" w:ascii="Times New Roman" w:hAnsi="Times New Roman" w:eastAsia="仿宋_GB2312" w:cs="Times New Roman"/>
          <w:sz w:val="32"/>
          <w:szCs w:val="32"/>
        </w:rPr>
        <w:t>内设行政机构</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股级机构</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个，包括办公室</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加挂人事股的牌子</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信访调纠股</w:t>
      </w:r>
      <w:r>
        <w:rPr>
          <w:rFonts w:hint="default" w:ascii="Times New Roman" w:hAnsi="Times New Roman" w:eastAsia="仿宋_GB2312" w:cs="Times New Roman"/>
          <w:sz w:val="32"/>
          <w:szCs w:val="32"/>
        </w:rPr>
        <w:t>、森林资源管理股、</w:t>
      </w:r>
      <w:r>
        <w:rPr>
          <w:rFonts w:hint="default" w:ascii="Times New Roman" w:hAnsi="Times New Roman" w:eastAsia="仿宋_GB2312" w:cs="Times New Roman"/>
          <w:sz w:val="32"/>
          <w:szCs w:val="32"/>
          <w:lang w:eastAsia="zh-CN"/>
        </w:rPr>
        <w:t>森林草原防火股、规划财务股、造林绿化和科技股（县绿化委员会办公室、退耕还林办公室）、野生动植物保护股（自然保护地管理股、国家公园管理办公室）、政策法规和改革发展股；下设事业编机构</w:t>
      </w:r>
      <w:r>
        <w:rPr>
          <w:rFonts w:hint="default" w:ascii="Times New Roman" w:hAnsi="Times New Roman" w:eastAsia="仿宋_GB2312" w:cs="Times New Roman"/>
          <w:sz w:val="32"/>
          <w:szCs w:val="32"/>
          <w:lang w:val="en-US" w:eastAsia="zh-CN"/>
        </w:rPr>
        <w:t>20个，</w:t>
      </w:r>
      <w:r>
        <w:rPr>
          <w:rFonts w:hint="default" w:ascii="Times New Roman" w:hAnsi="Times New Roman" w:eastAsia="仿宋_GB2312" w:cs="Times New Roman"/>
          <w:sz w:val="32"/>
          <w:szCs w:val="32"/>
        </w:rPr>
        <w:t>其中副科级机构林业综合执法大队（加挂县木材运输巡查大队牌子）和林业科技服务中心2个，股级机构18个，包括蓝山县森林资源监测中心（加挂蓝山县林业调查规划设计队、蓝山县森林资源资产评估中心牌子），林长制事务中心，野生动植物保护站、基层检查站5个、基层林业工作站10个。</w:t>
      </w:r>
    </w:p>
    <w:p w14:paraId="34695E51">
      <w:pPr>
        <w:widowControl/>
        <w:spacing w:line="600" w:lineRule="exact"/>
        <w:ind w:firstLine="640" w:firstLineChars="200"/>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eastAsia="zh-CN"/>
        </w:rPr>
        <w:t>蓝山县林业局</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lang w:eastAsia="zh-CN"/>
        </w:rPr>
        <w:t>蓝山县林业局本级。</w:t>
      </w:r>
    </w:p>
    <w:p w14:paraId="322AF3CE">
      <w:pPr>
        <w:jc w:val="left"/>
        <w:rPr>
          <w:rFonts w:ascii="Times New Roman" w:hAnsi="Times New Roman" w:eastAsia="仿宋_GB2312" w:cs="Times New Roman"/>
          <w:sz w:val="28"/>
          <w:szCs w:val="32"/>
        </w:rPr>
      </w:pPr>
    </w:p>
    <w:p w14:paraId="7553D067">
      <w:pPr>
        <w:jc w:val="both"/>
        <w:rPr>
          <w:rFonts w:ascii="Times New Roman" w:hAnsi="Times New Roman" w:eastAsia="黑体" w:cs="Times New Roman"/>
          <w:sz w:val="28"/>
          <w:szCs w:val="28"/>
        </w:rPr>
      </w:pPr>
    </w:p>
    <w:p w14:paraId="67331C48">
      <w:pPr>
        <w:pStyle w:val="11"/>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57B87391">
      <w:pPr>
        <w:pStyle w:val="17"/>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0515154C">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2CA6FD52">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39AE8C89">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13"/>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68D4AC19">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F3698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83246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28993BF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AFBD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88DE8">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6E58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5EB8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34573">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12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635D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540E0CB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5C8F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8B057">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7E2E1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23D8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72687">
            <w:pPr>
              <w:jc w:val="center"/>
              <w:rPr>
                <w:rFonts w:ascii="Times New Roman" w:hAnsi="Times New Roman" w:eastAsia="仿宋_GB2312" w:cs="Times New Roman"/>
                <w:color w:val="000000"/>
                <w:sz w:val="24"/>
                <w:szCs w:val="24"/>
              </w:rPr>
            </w:pPr>
          </w:p>
        </w:tc>
        <w:tc>
          <w:tcPr>
            <w:tcW w:w="12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5B82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2CA0992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75A2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FBE0E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B8182">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4820.39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9ACB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BED1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02147">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9.5</w:t>
            </w:r>
          </w:p>
        </w:tc>
      </w:tr>
      <w:tr w14:paraId="440EC21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3675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60F3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62C19">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CB66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4988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5642A">
            <w:pPr>
              <w:jc w:val="right"/>
              <w:rPr>
                <w:rFonts w:ascii="Times New Roman" w:hAnsi="Times New Roman" w:eastAsia="仿宋_GB2312" w:cs="Times New Roman"/>
                <w:color w:val="000000"/>
                <w:sz w:val="22"/>
              </w:rPr>
            </w:pPr>
          </w:p>
        </w:tc>
      </w:tr>
      <w:tr w14:paraId="03B30B4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7A2E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39607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EBA1F">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C9A2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E44F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16AB9">
            <w:pPr>
              <w:jc w:val="right"/>
              <w:rPr>
                <w:rFonts w:ascii="Times New Roman" w:hAnsi="Times New Roman" w:eastAsia="仿宋_GB2312" w:cs="Times New Roman"/>
                <w:color w:val="000000"/>
                <w:sz w:val="22"/>
              </w:rPr>
            </w:pPr>
          </w:p>
        </w:tc>
      </w:tr>
      <w:tr w14:paraId="74DF2B0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FF4E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4365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DFD30">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4CC6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D62B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852CC">
            <w:pPr>
              <w:jc w:val="right"/>
              <w:rPr>
                <w:rFonts w:ascii="Times New Roman" w:hAnsi="Times New Roman" w:eastAsia="仿宋_GB2312" w:cs="Times New Roman"/>
                <w:color w:val="000000"/>
                <w:sz w:val="22"/>
              </w:rPr>
            </w:pPr>
          </w:p>
        </w:tc>
      </w:tr>
      <w:tr w14:paraId="303DA79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10DF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FCA6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72691">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5B1A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DFF4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9CE24">
            <w:pPr>
              <w:jc w:val="right"/>
              <w:rPr>
                <w:rFonts w:ascii="Times New Roman" w:hAnsi="Times New Roman" w:eastAsia="仿宋_GB2312" w:cs="Times New Roman"/>
                <w:color w:val="000000"/>
                <w:sz w:val="22"/>
              </w:rPr>
            </w:pPr>
          </w:p>
        </w:tc>
      </w:tr>
      <w:tr w14:paraId="4BBE503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DBE32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51E5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D37FD">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0A00B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FD0F7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CD01">
            <w:pPr>
              <w:jc w:val="right"/>
              <w:rPr>
                <w:rFonts w:ascii="Times New Roman" w:hAnsi="Times New Roman" w:eastAsia="仿宋_GB2312" w:cs="Times New Roman"/>
                <w:color w:val="000000"/>
                <w:sz w:val="22"/>
              </w:rPr>
            </w:pPr>
          </w:p>
        </w:tc>
      </w:tr>
      <w:tr w14:paraId="68F5A4BD">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0FAEA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0EB0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C1C83">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449B8">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4"/>
                <w:szCs w:val="24"/>
                <w:lang w:bidi="ar"/>
              </w:rPr>
              <w:t>七、文化旅游体育与传媒支出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1EC5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0F2ED">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0.89</w:t>
            </w:r>
          </w:p>
        </w:tc>
      </w:tr>
      <w:tr w14:paraId="6682BC7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AC62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94C08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15B00">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4F81B">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八、社会保障和就业支出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C67F5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4974B">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178.62</w:t>
            </w:r>
          </w:p>
        </w:tc>
      </w:tr>
      <w:tr w14:paraId="50CE51A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BD8A5">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90AC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60777">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784BC">
            <w:pPr>
              <w:widowControl/>
              <w:jc w:val="left"/>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bidi="ar"/>
              </w:rPr>
              <w:t>九、卫生健康支出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C44E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04961">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32.78</w:t>
            </w:r>
          </w:p>
        </w:tc>
      </w:tr>
      <w:tr w14:paraId="2B99C37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BE16B">
            <w:pPr>
              <w:widowControl/>
              <w:jc w:val="center"/>
              <w:textAlignment w:val="center"/>
              <w:rPr>
                <w:rFonts w:ascii="Times New Roman" w:hAnsi="Times New Roman" w:eastAsia="仿宋_GB2312" w:cs="Times New Roman"/>
                <w:b/>
                <w:color w:val="000000"/>
                <w:kern w:val="0"/>
                <w:sz w:val="22"/>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B2F7A">
            <w:pPr>
              <w:widowControl/>
              <w:jc w:val="center"/>
              <w:textAlignment w:val="center"/>
              <w:rPr>
                <w:rFonts w:ascii="Times New Roman" w:hAnsi="Times New Roman" w:eastAsia="仿宋_GB2312" w:cs="Times New Roman"/>
                <w:color w:val="000000"/>
                <w:kern w:val="0"/>
                <w:sz w:val="22"/>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980C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F09C9">
            <w:pPr>
              <w:widowControl/>
              <w:jc w:val="left"/>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bidi="ar"/>
              </w:rPr>
              <w:t>十、城乡社区支出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F5CCB3">
            <w:pPr>
              <w:widowControl/>
              <w:jc w:val="center"/>
              <w:textAlignment w:val="center"/>
              <w:rPr>
                <w:rFonts w:ascii="Times New Roman" w:hAnsi="Times New Roman" w:eastAsia="仿宋_GB2312" w:cs="Times New Roman"/>
                <w:color w:val="000000"/>
                <w:kern w:val="0"/>
                <w:sz w:val="22"/>
                <w:lang w:bidi="ar"/>
              </w:rPr>
            </w:pP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1281D">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0.58</w:t>
            </w:r>
          </w:p>
        </w:tc>
      </w:tr>
      <w:tr w14:paraId="398B4403">
        <w:tblPrEx>
          <w:tblCellMar>
            <w:top w:w="0" w:type="dxa"/>
            <w:left w:w="108" w:type="dxa"/>
            <w:bottom w:w="0" w:type="dxa"/>
            <w:right w:w="108" w:type="dxa"/>
          </w:tblCellMar>
        </w:tblPrEx>
        <w:trPr>
          <w:trHeight w:val="35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A9E29">
            <w:pPr>
              <w:widowControl/>
              <w:jc w:val="center"/>
              <w:textAlignment w:val="center"/>
              <w:rPr>
                <w:rFonts w:ascii="Times New Roman" w:hAnsi="Times New Roman" w:eastAsia="仿宋_GB2312" w:cs="Times New Roman"/>
                <w:b/>
                <w:color w:val="000000"/>
                <w:kern w:val="0"/>
                <w:sz w:val="22"/>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68EFB3">
            <w:pPr>
              <w:widowControl/>
              <w:jc w:val="center"/>
              <w:textAlignment w:val="center"/>
              <w:rPr>
                <w:rFonts w:ascii="Times New Roman" w:hAnsi="Times New Roman" w:eastAsia="仿宋_GB2312" w:cs="Times New Roman"/>
                <w:color w:val="000000"/>
                <w:kern w:val="0"/>
                <w:sz w:val="22"/>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AD0A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0EAD1">
            <w:pPr>
              <w:widowControl/>
              <w:jc w:val="left"/>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bidi="ar"/>
              </w:rPr>
              <w:t>十一、农林水支出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59915">
            <w:pPr>
              <w:widowControl/>
              <w:jc w:val="center"/>
              <w:textAlignment w:val="center"/>
              <w:rPr>
                <w:rFonts w:ascii="Times New Roman" w:hAnsi="Times New Roman" w:eastAsia="仿宋_GB2312" w:cs="Times New Roman"/>
                <w:color w:val="000000"/>
                <w:kern w:val="0"/>
                <w:sz w:val="22"/>
                <w:lang w:bidi="ar"/>
              </w:rPr>
            </w:pP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77736">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4542.38</w:t>
            </w:r>
          </w:p>
        </w:tc>
      </w:tr>
      <w:tr w14:paraId="0039C6A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E7221">
            <w:pPr>
              <w:widowControl/>
              <w:jc w:val="center"/>
              <w:textAlignment w:val="center"/>
              <w:rPr>
                <w:rFonts w:ascii="Times New Roman" w:hAnsi="Times New Roman" w:eastAsia="仿宋_GB2312" w:cs="Times New Roman"/>
                <w:b/>
                <w:color w:val="000000"/>
                <w:kern w:val="0"/>
                <w:sz w:val="22"/>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439074">
            <w:pPr>
              <w:widowControl/>
              <w:jc w:val="center"/>
              <w:textAlignment w:val="center"/>
              <w:rPr>
                <w:rFonts w:ascii="Times New Roman" w:hAnsi="Times New Roman" w:eastAsia="仿宋_GB2312" w:cs="Times New Roman"/>
                <w:color w:val="000000"/>
                <w:kern w:val="0"/>
                <w:sz w:val="22"/>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A8819">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1267A">
            <w:pPr>
              <w:widowControl/>
              <w:jc w:val="left"/>
              <w:textAlignment w:val="center"/>
              <w:rPr>
                <w:rFonts w:ascii="Times New Roman" w:hAnsi="Times New Roman" w:eastAsia="仿宋_GB2312" w:cs="Times New Roman"/>
                <w:b/>
                <w:color w:val="000000"/>
                <w:kern w:val="0"/>
                <w:sz w:val="22"/>
                <w:lang w:bidi="ar"/>
              </w:rPr>
            </w:pPr>
            <w:r>
              <w:rPr>
                <w:rFonts w:hint="eastAsia" w:ascii="Times New Roman" w:hAnsi="Times New Roman" w:eastAsia="仿宋_GB2312" w:cs="Times New Roman"/>
                <w:color w:val="000000"/>
                <w:kern w:val="0"/>
                <w:sz w:val="22"/>
                <w:lang w:eastAsia="zh-CN" w:bidi="ar"/>
              </w:rPr>
              <w:t>十二</w:t>
            </w:r>
            <w:r>
              <w:rPr>
                <w:rFonts w:hint="eastAsia" w:ascii="Times New Roman" w:hAnsi="Times New Roman" w:eastAsia="仿宋_GB2312" w:cs="Times New Roman"/>
                <w:color w:val="000000"/>
                <w:kern w:val="0"/>
                <w:sz w:val="22"/>
                <w:lang w:bidi="ar"/>
              </w:rPr>
              <w:t>、其他支出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E3E1F">
            <w:pPr>
              <w:widowControl/>
              <w:jc w:val="center"/>
              <w:textAlignment w:val="center"/>
              <w:rPr>
                <w:rFonts w:ascii="Times New Roman" w:hAnsi="Times New Roman" w:eastAsia="仿宋_GB2312" w:cs="Times New Roman"/>
                <w:color w:val="000000"/>
                <w:kern w:val="0"/>
                <w:sz w:val="22"/>
                <w:lang w:bidi="ar"/>
              </w:rPr>
            </w:pP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23E63">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55.64</w:t>
            </w:r>
          </w:p>
        </w:tc>
      </w:tr>
      <w:tr w14:paraId="7C9371C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6664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A16D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168F8">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C86A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1615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1E923">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4820.39</w:t>
            </w:r>
          </w:p>
        </w:tc>
      </w:tr>
      <w:tr w14:paraId="139F28C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445C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6A4E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D0FF8">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88E2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3D6E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0C8B2">
            <w:pPr>
              <w:jc w:val="right"/>
              <w:rPr>
                <w:rFonts w:hint="eastAsia" w:ascii="Times New Roman" w:hAnsi="Times New Roman" w:eastAsia="仿宋_GB2312" w:cs="Times New Roman"/>
                <w:color w:val="000000"/>
                <w:sz w:val="22"/>
                <w:lang w:val="en-US" w:eastAsia="zh-CN"/>
              </w:rPr>
            </w:pPr>
          </w:p>
        </w:tc>
      </w:tr>
      <w:tr w14:paraId="425AB8D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347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3298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B8CD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FE18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426CC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61100">
            <w:pPr>
              <w:rPr>
                <w:rFonts w:ascii="Times New Roman" w:hAnsi="Times New Roman" w:eastAsia="仿宋_GB2312" w:cs="Times New Roman"/>
                <w:color w:val="000000"/>
                <w:sz w:val="22"/>
              </w:rPr>
            </w:pPr>
          </w:p>
        </w:tc>
      </w:tr>
      <w:tr w14:paraId="3A3C4FB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32E46">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B2F9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B6012">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4820.39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7B10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B6FC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F620B">
            <w:pPr>
              <w:jc w:val="right"/>
              <w:rPr>
                <w:rFonts w:ascii="Times New Roman" w:hAnsi="Times New Roman" w:eastAsia="仿宋_GB2312" w:cs="Times New Roman"/>
                <w:b/>
                <w:color w:val="000000"/>
                <w:sz w:val="22"/>
              </w:rPr>
            </w:pPr>
            <w:r>
              <w:rPr>
                <w:rFonts w:hint="eastAsia" w:ascii="Times New Roman" w:hAnsi="Times New Roman" w:eastAsia="仿宋_GB2312" w:cs="Times New Roman"/>
                <w:color w:val="000000"/>
                <w:sz w:val="22"/>
                <w:lang w:val="en-US" w:eastAsia="zh-CN"/>
              </w:rPr>
              <w:t>4820.39</w:t>
            </w:r>
          </w:p>
        </w:tc>
      </w:tr>
    </w:tbl>
    <w:p w14:paraId="222272B4">
      <w:pPr>
        <w:widowControl/>
        <w:jc w:val="left"/>
        <w:textAlignment w:val="center"/>
        <w:rPr>
          <w:rFonts w:ascii="Times New Roman" w:hAnsi="Times New Roman" w:eastAsia="宋体" w:cs="Times New Roman"/>
          <w:color w:val="000000"/>
          <w:kern w:val="0"/>
          <w:sz w:val="24"/>
          <w:szCs w:val="24"/>
          <w:lang w:bidi="ar"/>
        </w:rPr>
      </w:pPr>
    </w:p>
    <w:p w14:paraId="306E6F8C">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5A18C5C5">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3E7EBEA1">
      <w:pPr>
        <w:widowControl/>
        <w:spacing w:line="400" w:lineRule="exact"/>
        <w:jc w:val="center"/>
        <w:textAlignment w:val="center"/>
        <w:rPr>
          <w:rFonts w:ascii="Times New Roman" w:hAnsi="Times New Roman" w:eastAsia="黑体" w:cs="Times New Roman"/>
          <w:color w:val="000000"/>
          <w:kern w:val="0"/>
          <w:sz w:val="32"/>
          <w:szCs w:val="32"/>
          <w:lang w:bidi="ar"/>
        </w:rPr>
      </w:pPr>
    </w:p>
    <w:p w14:paraId="0D37D86D">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664903F7">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18EBE370">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3"/>
        <w:tblW w:w="14666" w:type="dxa"/>
        <w:jc w:val="center"/>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14:paraId="3AA29607">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2A4615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544205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CDF55C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0435D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90496F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E92405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B4427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7DF42F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711B0A86">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1A0F4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1EF710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2F39DA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5603F53">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760A8E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D6A214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8058B99">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65BF276B">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5A5D8145">
            <w:pPr>
              <w:rPr>
                <w:rFonts w:ascii="Times New Roman" w:hAnsi="Times New Roman" w:eastAsia="仿宋_GB2312" w:cs="Times New Roman"/>
                <w:sz w:val="24"/>
                <w:szCs w:val="24"/>
              </w:rPr>
            </w:pPr>
          </w:p>
        </w:tc>
      </w:tr>
      <w:tr w14:paraId="4A4D34F7">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14:paraId="05D44E40">
            <w:pPr>
              <w:rPr>
                <w:rFonts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14:paraId="75CEDDF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583C0E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E8AF8C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92EF42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6F4EFB6">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DE81CD5">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5833F825">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412B0118">
            <w:pPr>
              <w:rPr>
                <w:rFonts w:ascii="Times New Roman" w:hAnsi="Times New Roman" w:eastAsia="仿宋_GB2312" w:cs="Times New Roman"/>
                <w:sz w:val="24"/>
                <w:szCs w:val="24"/>
              </w:rPr>
            </w:pPr>
          </w:p>
        </w:tc>
      </w:tr>
      <w:tr w14:paraId="055D513C">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E9D797">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61585A">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C30C35">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23F1AF">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7EF665">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75A51E">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3F3516">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8F8193">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6BA36819">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8D1D65">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FF38D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4820.39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DC401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4820.39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57281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4F395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03771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71A99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195CA">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7EF658B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9ED32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2019999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ED232E">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FA5A3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9.50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731F2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9.50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C79B79">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35DB1B">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A083C2">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50A182">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9A40C2">
            <w:pPr>
              <w:jc w:val="right"/>
              <w:rPr>
                <w:rFonts w:ascii="Times New Roman" w:hAnsi="Times New Roman" w:eastAsia="仿宋_GB2312" w:cs="Times New Roman"/>
              </w:rPr>
            </w:pPr>
          </w:p>
        </w:tc>
      </w:tr>
      <w:tr w14:paraId="52067408">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DD3F1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2070108</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415408">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文化活动</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54F24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0.89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A26CC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0.89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92215F">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693CA0">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CC14C2">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42BB83">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ADD070">
            <w:pPr>
              <w:jc w:val="right"/>
              <w:rPr>
                <w:rFonts w:ascii="Times New Roman" w:hAnsi="Times New Roman" w:eastAsia="仿宋_GB2312" w:cs="Times New Roman"/>
              </w:rPr>
            </w:pPr>
          </w:p>
        </w:tc>
      </w:tr>
      <w:tr w14:paraId="4E49421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157BE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2080505</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446CC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92024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165.06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51F3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165.06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4D24E5">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113F7D">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C063B3">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BAE47C">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807761">
            <w:pPr>
              <w:jc w:val="right"/>
              <w:rPr>
                <w:rFonts w:ascii="Times New Roman" w:hAnsi="Times New Roman" w:eastAsia="仿宋_GB2312" w:cs="Times New Roman"/>
              </w:rPr>
            </w:pPr>
          </w:p>
        </w:tc>
      </w:tr>
      <w:tr w14:paraId="7EE7729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9CA58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2080801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7D06A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死亡抚恤</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327A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13.56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82A0B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13.56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A473A9">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C53F3C">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3148F2">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DFB055">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946B37">
            <w:pPr>
              <w:jc w:val="right"/>
              <w:rPr>
                <w:rFonts w:ascii="Times New Roman" w:hAnsi="Times New Roman" w:eastAsia="仿宋_GB2312" w:cs="Times New Roman"/>
              </w:rPr>
            </w:pPr>
          </w:p>
        </w:tc>
      </w:tr>
      <w:tr w14:paraId="0DC9519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3EE419">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2101101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A09DD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行政单位医疗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2B5BD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32.78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BDD6C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32.78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8C9B46">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031094">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065CA1">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B978E8">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BDAD6F">
            <w:pPr>
              <w:jc w:val="right"/>
              <w:rPr>
                <w:rFonts w:ascii="Times New Roman" w:hAnsi="Times New Roman" w:eastAsia="仿宋_GB2312" w:cs="Times New Roman"/>
              </w:rPr>
            </w:pPr>
          </w:p>
        </w:tc>
      </w:tr>
      <w:tr w14:paraId="5EB9CBA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AA8199">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2120501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D8B3D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城乡社区环境卫生</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A755D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0.57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2ECDA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0.57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CE007D">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85FA05">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F685F4">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6E579F">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67F41C">
            <w:pPr>
              <w:jc w:val="right"/>
              <w:rPr>
                <w:rFonts w:ascii="Times New Roman" w:hAnsi="Times New Roman" w:eastAsia="仿宋_GB2312" w:cs="Times New Roman"/>
              </w:rPr>
            </w:pPr>
          </w:p>
        </w:tc>
      </w:tr>
      <w:tr w14:paraId="2DA0115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6D82EE">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2130101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A757D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行政运行</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F4E9D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161.21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A62A60">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161.21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A31FA1">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3285B7">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3CCB4A">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69B75C">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BF4D36">
            <w:pPr>
              <w:jc w:val="right"/>
              <w:rPr>
                <w:rFonts w:ascii="Times New Roman" w:hAnsi="Times New Roman" w:eastAsia="仿宋_GB2312" w:cs="Times New Roman"/>
              </w:rPr>
            </w:pPr>
          </w:p>
        </w:tc>
      </w:tr>
      <w:tr w14:paraId="44DF4E6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E180E4">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2130119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978DE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防灾救灾</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62B420">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2.00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DA426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2.00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C9EDF9">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2B70CA">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26A7BF">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82DA49">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9F51A7">
            <w:pPr>
              <w:jc w:val="right"/>
              <w:rPr>
                <w:rFonts w:ascii="Times New Roman" w:hAnsi="Times New Roman" w:eastAsia="仿宋_GB2312" w:cs="Times New Roman"/>
              </w:rPr>
            </w:pPr>
          </w:p>
        </w:tc>
      </w:tr>
      <w:tr w14:paraId="44DE838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06ED4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2130201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1D16CC">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行政运行</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AD9B5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2224.01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289C4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2224.01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0283CF">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5335A3">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E91B7F">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F25038">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15A544">
            <w:pPr>
              <w:jc w:val="right"/>
              <w:rPr>
                <w:rFonts w:ascii="Times New Roman" w:hAnsi="Times New Roman" w:eastAsia="仿宋_GB2312" w:cs="Times New Roman"/>
              </w:rPr>
            </w:pPr>
          </w:p>
        </w:tc>
      </w:tr>
      <w:tr w14:paraId="2501543D">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1DE238">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2130205</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FF1FB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森林资源培育</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D4DB5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869.82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3488D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869.82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E90A06">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91C90F">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4FD76E">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5CD0CF">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FD0420">
            <w:pPr>
              <w:jc w:val="right"/>
              <w:rPr>
                <w:rFonts w:ascii="Times New Roman" w:hAnsi="Times New Roman" w:eastAsia="仿宋_GB2312" w:cs="Times New Roman"/>
              </w:rPr>
            </w:pPr>
          </w:p>
        </w:tc>
      </w:tr>
      <w:tr w14:paraId="4CE7789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7B6C0A">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2130207</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FB036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森林资源管理</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E51D0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447.87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705F9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447.87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742C06">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9191EC">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878F2D">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7339B1">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67C001">
            <w:pPr>
              <w:jc w:val="right"/>
              <w:rPr>
                <w:rFonts w:ascii="Times New Roman" w:hAnsi="Times New Roman" w:eastAsia="仿宋_GB2312" w:cs="Times New Roman"/>
              </w:rPr>
            </w:pPr>
          </w:p>
        </w:tc>
      </w:tr>
      <w:tr w14:paraId="310AB32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0DCC3F">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2130209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0ADAE9">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森林生态效益补偿</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89721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1.62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8029B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1.62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6A5810">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1C8D95">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D07273">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EE9395">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A87DE4">
            <w:pPr>
              <w:jc w:val="right"/>
              <w:rPr>
                <w:rFonts w:ascii="Times New Roman" w:hAnsi="Times New Roman" w:eastAsia="仿宋_GB2312" w:cs="Times New Roman"/>
              </w:rPr>
            </w:pPr>
          </w:p>
        </w:tc>
      </w:tr>
      <w:tr w14:paraId="31A24658">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F3941C">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2130211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B9A38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动植物保护</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84590">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261.45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4F70C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261.45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980831">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0DC4C9">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669F90">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E90A2E">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185C0F">
            <w:pPr>
              <w:jc w:val="right"/>
              <w:rPr>
                <w:rFonts w:ascii="Times New Roman" w:hAnsi="Times New Roman" w:eastAsia="仿宋_GB2312" w:cs="Times New Roman"/>
              </w:rPr>
            </w:pPr>
          </w:p>
        </w:tc>
      </w:tr>
      <w:tr w14:paraId="0BC594B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02E8DE">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2130234</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FB920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林业草原防灾减灾</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71076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574.41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6F9C4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574.41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10D194">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8C127">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88020C">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7F0280">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867724">
            <w:pPr>
              <w:jc w:val="right"/>
              <w:rPr>
                <w:rFonts w:ascii="Times New Roman" w:hAnsi="Times New Roman" w:eastAsia="仿宋_GB2312" w:cs="Times New Roman"/>
              </w:rPr>
            </w:pPr>
          </w:p>
        </w:tc>
      </w:tr>
      <w:tr w14:paraId="4D35397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117B20">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2299999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4B03D9">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64708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55.64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49899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55.64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008D3F">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FA5ED8">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B74A31">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61535B">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C41743">
            <w:pPr>
              <w:jc w:val="right"/>
              <w:rPr>
                <w:rFonts w:ascii="Times New Roman" w:hAnsi="Times New Roman" w:eastAsia="仿宋_GB2312" w:cs="Times New Roman"/>
              </w:rPr>
            </w:pPr>
          </w:p>
        </w:tc>
      </w:tr>
    </w:tbl>
    <w:p w14:paraId="6163B5A2">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52B58374">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675C3148">
      <w:pPr>
        <w:widowControl/>
        <w:jc w:val="center"/>
        <w:textAlignment w:val="center"/>
        <w:rPr>
          <w:rFonts w:ascii="Times New Roman" w:hAnsi="Times New Roman" w:eastAsia="黑体" w:cs="Times New Roman"/>
          <w:color w:val="000000"/>
          <w:kern w:val="0"/>
          <w:sz w:val="32"/>
          <w:szCs w:val="32"/>
          <w:lang w:bidi="ar"/>
        </w:rPr>
      </w:pPr>
    </w:p>
    <w:p w14:paraId="61B30AC6">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7C361113">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2A988B7F">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3"/>
        <w:tblW w:w="4998" w:type="pct"/>
        <w:jc w:val="center"/>
        <w:tblLayout w:type="autofit"/>
        <w:tblCellMar>
          <w:top w:w="0" w:type="dxa"/>
          <w:left w:w="108" w:type="dxa"/>
          <w:bottom w:w="0" w:type="dxa"/>
          <w:right w:w="108" w:type="dxa"/>
        </w:tblCellMar>
      </w:tblPr>
      <w:tblGrid>
        <w:gridCol w:w="2424"/>
        <w:gridCol w:w="1337"/>
        <w:gridCol w:w="1877"/>
        <w:gridCol w:w="1334"/>
        <w:gridCol w:w="1334"/>
        <w:gridCol w:w="1877"/>
        <w:gridCol w:w="1334"/>
        <w:gridCol w:w="2697"/>
      </w:tblGrid>
      <w:tr w14:paraId="3F7DD126">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6A3FCE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CEBA0F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780428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A5D566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D5B887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68EAAF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A71B87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67A0A1C0">
        <w:tblPrEx>
          <w:tblCellMar>
            <w:top w:w="0" w:type="dxa"/>
            <w:left w:w="108" w:type="dxa"/>
            <w:bottom w:w="0" w:type="dxa"/>
            <w:right w:w="108" w:type="dxa"/>
          </w:tblCellMar>
        </w:tblPrEx>
        <w:trPr>
          <w:trHeight w:val="312" w:hRule="exact"/>
          <w:jc w:val="center"/>
        </w:trPr>
        <w:tc>
          <w:tcPr>
            <w:tcW w:w="85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29B682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469" w:type="pct"/>
            <w:vMerge w:val="restart"/>
            <w:tcBorders>
              <w:top w:val="nil"/>
              <w:left w:val="single" w:color="auto" w:sz="4" w:space="0"/>
              <w:bottom w:val="single" w:color="auto" w:sz="4" w:space="0"/>
              <w:right w:val="single" w:color="auto" w:sz="4" w:space="0"/>
            </w:tcBorders>
            <w:shd w:val="clear" w:color="000000" w:fill="FFFFFF"/>
            <w:vAlign w:val="center"/>
          </w:tcPr>
          <w:p w14:paraId="226BA0B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29027A06">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729ABF18">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3B5F4D4A">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57F0C17D">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40149BE5">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4615F3DD">
            <w:pPr>
              <w:widowControl/>
              <w:jc w:val="left"/>
              <w:rPr>
                <w:rFonts w:ascii="Times New Roman" w:hAnsi="Times New Roman" w:eastAsia="仿宋_GB2312" w:cs="Times New Roman"/>
                <w:b/>
                <w:bCs/>
                <w:kern w:val="0"/>
                <w:sz w:val="24"/>
                <w:szCs w:val="24"/>
              </w:rPr>
            </w:pPr>
          </w:p>
        </w:tc>
      </w:tr>
      <w:tr w14:paraId="3C1AC77A">
        <w:tblPrEx>
          <w:tblCellMar>
            <w:top w:w="0" w:type="dxa"/>
            <w:left w:w="108" w:type="dxa"/>
            <w:bottom w:w="0" w:type="dxa"/>
            <w:right w:w="108" w:type="dxa"/>
          </w:tblCellMar>
        </w:tblPrEx>
        <w:trPr>
          <w:trHeight w:val="595" w:hRule="atLeast"/>
          <w:jc w:val="center"/>
        </w:trPr>
        <w:tc>
          <w:tcPr>
            <w:tcW w:w="852" w:type="pct"/>
            <w:vMerge w:val="continue"/>
            <w:tcBorders>
              <w:top w:val="single" w:color="auto" w:sz="4" w:space="0"/>
              <w:left w:val="single" w:color="auto" w:sz="4" w:space="0"/>
              <w:bottom w:val="single" w:color="auto" w:sz="4" w:space="0"/>
              <w:right w:val="single" w:color="auto" w:sz="4" w:space="0"/>
            </w:tcBorders>
            <w:vAlign w:val="center"/>
          </w:tcPr>
          <w:p w14:paraId="6B5630E9">
            <w:pPr>
              <w:widowControl/>
              <w:jc w:val="left"/>
              <w:rPr>
                <w:rFonts w:ascii="Times New Roman" w:hAnsi="Times New Roman" w:eastAsia="仿宋_GB2312" w:cs="Times New Roman"/>
                <w:kern w:val="0"/>
                <w:sz w:val="24"/>
                <w:szCs w:val="24"/>
              </w:rPr>
            </w:pPr>
          </w:p>
        </w:tc>
        <w:tc>
          <w:tcPr>
            <w:tcW w:w="469" w:type="pct"/>
            <w:vMerge w:val="continue"/>
            <w:tcBorders>
              <w:top w:val="nil"/>
              <w:left w:val="single" w:color="auto" w:sz="4" w:space="0"/>
              <w:bottom w:val="single" w:color="auto" w:sz="4" w:space="0"/>
              <w:right w:val="single" w:color="auto" w:sz="4" w:space="0"/>
            </w:tcBorders>
            <w:vAlign w:val="center"/>
          </w:tcPr>
          <w:p w14:paraId="082F46E5">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63224900">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7482422C">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D8654FD">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3F2CFAB7">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709F562B">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2C72DB1B">
            <w:pPr>
              <w:widowControl/>
              <w:jc w:val="left"/>
              <w:rPr>
                <w:rFonts w:ascii="Times New Roman" w:hAnsi="Times New Roman" w:eastAsia="仿宋_GB2312" w:cs="Times New Roman"/>
                <w:kern w:val="0"/>
                <w:sz w:val="24"/>
                <w:szCs w:val="24"/>
              </w:rPr>
            </w:pPr>
          </w:p>
        </w:tc>
      </w:tr>
      <w:tr w14:paraId="595EA780">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48F6A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598D2A1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56DF6F4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6DC793D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397EE09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163C858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55681BC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7D7C6C78">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797FB7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877" w:type="dxa"/>
            <w:tcBorders>
              <w:top w:val="nil"/>
              <w:left w:val="nil"/>
              <w:bottom w:val="single" w:color="auto" w:sz="4" w:space="0"/>
              <w:right w:val="single" w:color="auto" w:sz="4" w:space="0"/>
            </w:tcBorders>
            <w:shd w:val="clear" w:color="auto" w:fill="auto"/>
            <w:noWrap/>
            <w:vAlign w:val="center"/>
          </w:tcPr>
          <w:p w14:paraId="56B38F0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4820.39 </w:t>
            </w:r>
          </w:p>
        </w:tc>
        <w:tc>
          <w:tcPr>
            <w:tcW w:w="1334" w:type="dxa"/>
            <w:tcBorders>
              <w:top w:val="nil"/>
              <w:left w:val="nil"/>
              <w:bottom w:val="single" w:color="auto" w:sz="4" w:space="0"/>
              <w:right w:val="single" w:color="auto" w:sz="4" w:space="0"/>
            </w:tcBorders>
            <w:shd w:val="clear" w:color="auto" w:fill="auto"/>
            <w:noWrap/>
            <w:vAlign w:val="center"/>
          </w:tcPr>
          <w:p w14:paraId="5577B3E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2695.75 </w:t>
            </w:r>
          </w:p>
        </w:tc>
        <w:tc>
          <w:tcPr>
            <w:tcW w:w="1334" w:type="dxa"/>
            <w:tcBorders>
              <w:top w:val="nil"/>
              <w:left w:val="nil"/>
              <w:bottom w:val="single" w:color="auto" w:sz="4" w:space="0"/>
              <w:right w:val="single" w:color="auto" w:sz="4" w:space="0"/>
            </w:tcBorders>
            <w:shd w:val="clear" w:color="auto" w:fill="auto"/>
            <w:noWrap/>
            <w:vAlign w:val="center"/>
          </w:tcPr>
          <w:p w14:paraId="632EAF2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2124.64 </w:t>
            </w:r>
          </w:p>
        </w:tc>
        <w:tc>
          <w:tcPr>
            <w:tcW w:w="660" w:type="pct"/>
            <w:tcBorders>
              <w:top w:val="nil"/>
              <w:left w:val="nil"/>
              <w:bottom w:val="single" w:color="auto" w:sz="4" w:space="0"/>
              <w:right w:val="single" w:color="auto" w:sz="4" w:space="0"/>
            </w:tcBorders>
            <w:shd w:val="clear" w:color="auto" w:fill="auto"/>
            <w:noWrap/>
            <w:vAlign w:val="center"/>
          </w:tcPr>
          <w:p w14:paraId="3839095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530F36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6AAA2E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5DBA3F3">
        <w:tblPrEx>
          <w:tblCellMar>
            <w:top w:w="0" w:type="dxa"/>
            <w:left w:w="108" w:type="dxa"/>
            <w:bottom w:w="0" w:type="dxa"/>
            <w:right w:w="108" w:type="dxa"/>
          </w:tblCellMar>
        </w:tblPrEx>
        <w:trPr>
          <w:trHeight w:val="595" w:hRule="atLeast"/>
          <w:jc w:val="center"/>
        </w:trPr>
        <w:tc>
          <w:tcPr>
            <w:tcW w:w="242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E5457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1337" w:type="dxa"/>
            <w:tcBorders>
              <w:top w:val="nil"/>
              <w:left w:val="nil"/>
              <w:bottom w:val="single" w:color="auto" w:sz="4" w:space="0"/>
              <w:right w:val="single" w:color="auto" w:sz="4" w:space="0"/>
            </w:tcBorders>
            <w:shd w:val="clear" w:color="000000" w:fill="FFFFFF"/>
            <w:noWrap/>
            <w:vAlign w:val="center"/>
          </w:tcPr>
          <w:p w14:paraId="0174717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877" w:type="dxa"/>
            <w:tcBorders>
              <w:top w:val="nil"/>
              <w:left w:val="nil"/>
              <w:bottom w:val="single" w:color="auto" w:sz="4" w:space="0"/>
              <w:right w:val="single" w:color="auto" w:sz="4" w:space="0"/>
            </w:tcBorders>
            <w:shd w:val="clear" w:color="auto" w:fill="auto"/>
            <w:noWrap/>
            <w:vAlign w:val="center"/>
          </w:tcPr>
          <w:p w14:paraId="3554BC5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9.50 </w:t>
            </w:r>
          </w:p>
        </w:tc>
        <w:tc>
          <w:tcPr>
            <w:tcW w:w="1334" w:type="dxa"/>
            <w:tcBorders>
              <w:top w:val="nil"/>
              <w:left w:val="nil"/>
              <w:bottom w:val="single" w:color="auto" w:sz="4" w:space="0"/>
              <w:right w:val="single" w:color="auto" w:sz="4" w:space="0"/>
            </w:tcBorders>
            <w:shd w:val="clear" w:color="auto" w:fill="auto"/>
            <w:noWrap/>
            <w:vAlign w:val="center"/>
          </w:tcPr>
          <w:p w14:paraId="580EB9E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9.50 </w:t>
            </w:r>
          </w:p>
        </w:tc>
        <w:tc>
          <w:tcPr>
            <w:tcW w:w="1334" w:type="dxa"/>
            <w:tcBorders>
              <w:top w:val="nil"/>
              <w:left w:val="nil"/>
              <w:bottom w:val="single" w:color="auto" w:sz="4" w:space="0"/>
              <w:right w:val="single" w:color="auto" w:sz="4" w:space="0"/>
            </w:tcBorders>
            <w:shd w:val="clear" w:color="auto" w:fill="auto"/>
            <w:noWrap/>
            <w:vAlign w:val="center"/>
          </w:tcPr>
          <w:p w14:paraId="2910F1C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0.00 </w:t>
            </w:r>
          </w:p>
        </w:tc>
        <w:tc>
          <w:tcPr>
            <w:tcW w:w="660" w:type="pct"/>
            <w:tcBorders>
              <w:top w:val="nil"/>
              <w:left w:val="nil"/>
              <w:bottom w:val="single" w:color="auto" w:sz="4" w:space="0"/>
              <w:right w:val="single" w:color="auto" w:sz="4" w:space="0"/>
            </w:tcBorders>
            <w:shd w:val="clear" w:color="auto" w:fill="auto"/>
            <w:noWrap/>
            <w:vAlign w:val="center"/>
          </w:tcPr>
          <w:p w14:paraId="727E580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B85FE2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52589B2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00A29E5">
        <w:tblPrEx>
          <w:tblCellMar>
            <w:top w:w="0" w:type="dxa"/>
            <w:left w:w="108" w:type="dxa"/>
            <w:bottom w:w="0" w:type="dxa"/>
            <w:right w:w="108" w:type="dxa"/>
          </w:tblCellMar>
        </w:tblPrEx>
        <w:trPr>
          <w:trHeight w:val="595" w:hRule="atLeast"/>
          <w:jc w:val="center"/>
        </w:trPr>
        <w:tc>
          <w:tcPr>
            <w:tcW w:w="242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FD0C7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2070108</w:t>
            </w:r>
          </w:p>
        </w:tc>
        <w:tc>
          <w:tcPr>
            <w:tcW w:w="1337" w:type="dxa"/>
            <w:tcBorders>
              <w:top w:val="nil"/>
              <w:left w:val="nil"/>
              <w:bottom w:val="single" w:color="auto" w:sz="4" w:space="0"/>
              <w:right w:val="single" w:color="auto" w:sz="4" w:space="0"/>
            </w:tcBorders>
            <w:shd w:val="clear" w:color="000000" w:fill="FFFFFF"/>
            <w:noWrap/>
            <w:vAlign w:val="center"/>
          </w:tcPr>
          <w:p w14:paraId="7B0693E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文化活动</w:t>
            </w:r>
          </w:p>
        </w:tc>
        <w:tc>
          <w:tcPr>
            <w:tcW w:w="1877" w:type="dxa"/>
            <w:tcBorders>
              <w:top w:val="nil"/>
              <w:left w:val="nil"/>
              <w:bottom w:val="single" w:color="auto" w:sz="4" w:space="0"/>
              <w:right w:val="single" w:color="auto" w:sz="4" w:space="0"/>
            </w:tcBorders>
            <w:shd w:val="clear" w:color="auto" w:fill="auto"/>
            <w:noWrap/>
            <w:vAlign w:val="center"/>
          </w:tcPr>
          <w:p w14:paraId="5FAD205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0.89 </w:t>
            </w:r>
          </w:p>
        </w:tc>
        <w:tc>
          <w:tcPr>
            <w:tcW w:w="1334" w:type="dxa"/>
            <w:tcBorders>
              <w:top w:val="nil"/>
              <w:left w:val="nil"/>
              <w:bottom w:val="single" w:color="auto" w:sz="4" w:space="0"/>
              <w:right w:val="single" w:color="auto" w:sz="4" w:space="0"/>
            </w:tcBorders>
            <w:shd w:val="clear" w:color="auto" w:fill="auto"/>
            <w:noWrap/>
            <w:vAlign w:val="center"/>
          </w:tcPr>
          <w:p w14:paraId="32A1E0C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0.89 </w:t>
            </w:r>
          </w:p>
        </w:tc>
        <w:tc>
          <w:tcPr>
            <w:tcW w:w="1334" w:type="dxa"/>
            <w:tcBorders>
              <w:top w:val="nil"/>
              <w:left w:val="nil"/>
              <w:bottom w:val="single" w:color="auto" w:sz="4" w:space="0"/>
              <w:right w:val="single" w:color="auto" w:sz="4" w:space="0"/>
            </w:tcBorders>
            <w:shd w:val="clear" w:color="auto" w:fill="auto"/>
            <w:noWrap/>
            <w:vAlign w:val="center"/>
          </w:tcPr>
          <w:p w14:paraId="363FD5B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0.00 </w:t>
            </w:r>
          </w:p>
        </w:tc>
        <w:tc>
          <w:tcPr>
            <w:tcW w:w="660" w:type="pct"/>
            <w:tcBorders>
              <w:top w:val="nil"/>
              <w:left w:val="nil"/>
              <w:bottom w:val="single" w:color="auto" w:sz="4" w:space="0"/>
              <w:right w:val="single" w:color="auto" w:sz="4" w:space="0"/>
            </w:tcBorders>
            <w:shd w:val="clear" w:color="auto" w:fill="auto"/>
            <w:noWrap/>
            <w:vAlign w:val="center"/>
          </w:tcPr>
          <w:p w14:paraId="350BA97D">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5B552994">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3BD93204">
            <w:pPr>
              <w:widowControl/>
              <w:jc w:val="right"/>
              <w:rPr>
                <w:rFonts w:ascii="Times New Roman" w:hAnsi="Times New Roman" w:eastAsia="仿宋_GB2312" w:cs="Times New Roman"/>
                <w:kern w:val="0"/>
                <w:sz w:val="24"/>
                <w:szCs w:val="24"/>
              </w:rPr>
            </w:pPr>
          </w:p>
        </w:tc>
      </w:tr>
      <w:tr w14:paraId="07CDEF08">
        <w:tblPrEx>
          <w:tblCellMar>
            <w:top w:w="0" w:type="dxa"/>
            <w:left w:w="108" w:type="dxa"/>
            <w:bottom w:w="0" w:type="dxa"/>
            <w:right w:w="108" w:type="dxa"/>
          </w:tblCellMar>
        </w:tblPrEx>
        <w:trPr>
          <w:trHeight w:val="595" w:hRule="atLeast"/>
          <w:jc w:val="center"/>
        </w:trPr>
        <w:tc>
          <w:tcPr>
            <w:tcW w:w="242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9D4B4C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1337" w:type="dxa"/>
            <w:tcBorders>
              <w:top w:val="nil"/>
              <w:left w:val="nil"/>
              <w:bottom w:val="single" w:color="auto" w:sz="4" w:space="0"/>
              <w:right w:val="single" w:color="auto" w:sz="4" w:space="0"/>
            </w:tcBorders>
            <w:shd w:val="clear" w:color="000000" w:fill="FFFFFF"/>
            <w:noWrap/>
            <w:vAlign w:val="center"/>
          </w:tcPr>
          <w:p w14:paraId="6FB1199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877" w:type="dxa"/>
            <w:tcBorders>
              <w:top w:val="nil"/>
              <w:left w:val="nil"/>
              <w:bottom w:val="single" w:color="auto" w:sz="4" w:space="0"/>
              <w:right w:val="single" w:color="auto" w:sz="4" w:space="0"/>
            </w:tcBorders>
            <w:shd w:val="clear" w:color="auto" w:fill="auto"/>
            <w:noWrap/>
            <w:vAlign w:val="center"/>
          </w:tcPr>
          <w:p w14:paraId="413E1A1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165.06 </w:t>
            </w:r>
          </w:p>
        </w:tc>
        <w:tc>
          <w:tcPr>
            <w:tcW w:w="1334" w:type="dxa"/>
            <w:tcBorders>
              <w:top w:val="nil"/>
              <w:left w:val="nil"/>
              <w:bottom w:val="single" w:color="auto" w:sz="4" w:space="0"/>
              <w:right w:val="single" w:color="auto" w:sz="4" w:space="0"/>
            </w:tcBorders>
            <w:shd w:val="clear" w:color="auto" w:fill="auto"/>
            <w:noWrap/>
            <w:vAlign w:val="center"/>
          </w:tcPr>
          <w:p w14:paraId="45617BA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165.06 </w:t>
            </w:r>
          </w:p>
        </w:tc>
        <w:tc>
          <w:tcPr>
            <w:tcW w:w="1334" w:type="dxa"/>
            <w:tcBorders>
              <w:top w:val="nil"/>
              <w:left w:val="nil"/>
              <w:bottom w:val="single" w:color="auto" w:sz="4" w:space="0"/>
              <w:right w:val="single" w:color="auto" w:sz="4" w:space="0"/>
            </w:tcBorders>
            <w:shd w:val="clear" w:color="auto" w:fill="auto"/>
            <w:noWrap/>
            <w:vAlign w:val="center"/>
          </w:tcPr>
          <w:p w14:paraId="13C78C7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0.00 </w:t>
            </w:r>
          </w:p>
        </w:tc>
        <w:tc>
          <w:tcPr>
            <w:tcW w:w="660" w:type="pct"/>
            <w:tcBorders>
              <w:top w:val="nil"/>
              <w:left w:val="nil"/>
              <w:bottom w:val="single" w:color="auto" w:sz="4" w:space="0"/>
              <w:right w:val="single" w:color="auto" w:sz="4" w:space="0"/>
            </w:tcBorders>
            <w:shd w:val="clear" w:color="auto" w:fill="auto"/>
            <w:noWrap/>
            <w:vAlign w:val="center"/>
          </w:tcPr>
          <w:p w14:paraId="09462F22">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441E4D16">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36B53CBC">
            <w:pPr>
              <w:widowControl/>
              <w:jc w:val="right"/>
              <w:rPr>
                <w:rFonts w:ascii="Times New Roman" w:hAnsi="Times New Roman" w:eastAsia="仿宋_GB2312" w:cs="Times New Roman"/>
                <w:kern w:val="0"/>
                <w:sz w:val="24"/>
                <w:szCs w:val="24"/>
              </w:rPr>
            </w:pPr>
          </w:p>
        </w:tc>
      </w:tr>
      <w:tr w14:paraId="3E2CBC39">
        <w:tblPrEx>
          <w:tblCellMar>
            <w:top w:w="0" w:type="dxa"/>
            <w:left w:w="108" w:type="dxa"/>
            <w:bottom w:w="0" w:type="dxa"/>
            <w:right w:w="108" w:type="dxa"/>
          </w:tblCellMar>
        </w:tblPrEx>
        <w:trPr>
          <w:trHeight w:val="595" w:hRule="atLeast"/>
          <w:jc w:val="center"/>
        </w:trPr>
        <w:tc>
          <w:tcPr>
            <w:tcW w:w="242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2954B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2080801</w:t>
            </w:r>
          </w:p>
        </w:tc>
        <w:tc>
          <w:tcPr>
            <w:tcW w:w="1337" w:type="dxa"/>
            <w:tcBorders>
              <w:top w:val="nil"/>
              <w:left w:val="nil"/>
              <w:bottom w:val="single" w:color="auto" w:sz="4" w:space="0"/>
              <w:right w:val="single" w:color="auto" w:sz="4" w:space="0"/>
            </w:tcBorders>
            <w:shd w:val="clear" w:color="000000" w:fill="FFFFFF"/>
            <w:noWrap/>
            <w:vAlign w:val="center"/>
          </w:tcPr>
          <w:p w14:paraId="0C50634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死亡抚恤</w:t>
            </w:r>
          </w:p>
        </w:tc>
        <w:tc>
          <w:tcPr>
            <w:tcW w:w="1877" w:type="dxa"/>
            <w:tcBorders>
              <w:top w:val="nil"/>
              <w:left w:val="nil"/>
              <w:bottom w:val="single" w:color="auto" w:sz="4" w:space="0"/>
              <w:right w:val="single" w:color="auto" w:sz="4" w:space="0"/>
            </w:tcBorders>
            <w:shd w:val="clear" w:color="auto" w:fill="auto"/>
            <w:noWrap/>
            <w:vAlign w:val="center"/>
          </w:tcPr>
          <w:p w14:paraId="51FA30B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13.56 </w:t>
            </w:r>
          </w:p>
        </w:tc>
        <w:tc>
          <w:tcPr>
            <w:tcW w:w="1334" w:type="dxa"/>
            <w:tcBorders>
              <w:top w:val="nil"/>
              <w:left w:val="nil"/>
              <w:bottom w:val="single" w:color="auto" w:sz="4" w:space="0"/>
              <w:right w:val="single" w:color="auto" w:sz="4" w:space="0"/>
            </w:tcBorders>
            <w:shd w:val="clear" w:color="auto" w:fill="auto"/>
            <w:noWrap/>
            <w:vAlign w:val="center"/>
          </w:tcPr>
          <w:p w14:paraId="1469171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13.56 </w:t>
            </w:r>
          </w:p>
        </w:tc>
        <w:tc>
          <w:tcPr>
            <w:tcW w:w="1334" w:type="dxa"/>
            <w:tcBorders>
              <w:top w:val="nil"/>
              <w:left w:val="nil"/>
              <w:bottom w:val="single" w:color="auto" w:sz="4" w:space="0"/>
              <w:right w:val="single" w:color="auto" w:sz="4" w:space="0"/>
            </w:tcBorders>
            <w:shd w:val="clear" w:color="auto" w:fill="auto"/>
            <w:noWrap/>
            <w:vAlign w:val="center"/>
          </w:tcPr>
          <w:p w14:paraId="465AE71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0.00 </w:t>
            </w:r>
          </w:p>
        </w:tc>
        <w:tc>
          <w:tcPr>
            <w:tcW w:w="660" w:type="pct"/>
            <w:tcBorders>
              <w:top w:val="nil"/>
              <w:left w:val="nil"/>
              <w:bottom w:val="single" w:color="auto" w:sz="4" w:space="0"/>
              <w:right w:val="single" w:color="auto" w:sz="4" w:space="0"/>
            </w:tcBorders>
            <w:shd w:val="clear" w:color="auto" w:fill="auto"/>
            <w:noWrap/>
            <w:vAlign w:val="center"/>
          </w:tcPr>
          <w:p w14:paraId="2BE7804F">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0380B049">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491E0DBE">
            <w:pPr>
              <w:widowControl/>
              <w:jc w:val="right"/>
              <w:rPr>
                <w:rFonts w:ascii="Times New Roman" w:hAnsi="Times New Roman" w:eastAsia="仿宋_GB2312" w:cs="Times New Roman"/>
                <w:kern w:val="0"/>
                <w:sz w:val="24"/>
                <w:szCs w:val="24"/>
              </w:rPr>
            </w:pPr>
          </w:p>
        </w:tc>
      </w:tr>
      <w:tr w14:paraId="2CB3A404">
        <w:tblPrEx>
          <w:tblCellMar>
            <w:top w:w="0" w:type="dxa"/>
            <w:left w:w="108" w:type="dxa"/>
            <w:bottom w:w="0" w:type="dxa"/>
            <w:right w:w="108" w:type="dxa"/>
          </w:tblCellMar>
        </w:tblPrEx>
        <w:trPr>
          <w:trHeight w:val="595" w:hRule="atLeast"/>
          <w:jc w:val="center"/>
        </w:trPr>
        <w:tc>
          <w:tcPr>
            <w:tcW w:w="242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01CF99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1337" w:type="dxa"/>
            <w:tcBorders>
              <w:top w:val="nil"/>
              <w:left w:val="nil"/>
              <w:bottom w:val="single" w:color="auto" w:sz="4" w:space="0"/>
              <w:right w:val="single" w:color="auto" w:sz="4" w:space="0"/>
            </w:tcBorders>
            <w:shd w:val="clear" w:color="000000" w:fill="FFFFFF"/>
            <w:noWrap/>
            <w:vAlign w:val="center"/>
          </w:tcPr>
          <w:p w14:paraId="3F80EB8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1877" w:type="dxa"/>
            <w:tcBorders>
              <w:top w:val="nil"/>
              <w:left w:val="nil"/>
              <w:bottom w:val="single" w:color="auto" w:sz="4" w:space="0"/>
              <w:right w:val="single" w:color="auto" w:sz="4" w:space="0"/>
            </w:tcBorders>
            <w:shd w:val="clear" w:color="auto" w:fill="auto"/>
            <w:noWrap/>
            <w:vAlign w:val="center"/>
          </w:tcPr>
          <w:p w14:paraId="1D2762A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32.78 </w:t>
            </w:r>
          </w:p>
        </w:tc>
        <w:tc>
          <w:tcPr>
            <w:tcW w:w="1334" w:type="dxa"/>
            <w:tcBorders>
              <w:top w:val="nil"/>
              <w:left w:val="nil"/>
              <w:bottom w:val="single" w:color="auto" w:sz="4" w:space="0"/>
              <w:right w:val="single" w:color="auto" w:sz="4" w:space="0"/>
            </w:tcBorders>
            <w:shd w:val="clear" w:color="auto" w:fill="auto"/>
            <w:noWrap/>
            <w:vAlign w:val="center"/>
          </w:tcPr>
          <w:p w14:paraId="76CF2CD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32.78 </w:t>
            </w:r>
          </w:p>
        </w:tc>
        <w:tc>
          <w:tcPr>
            <w:tcW w:w="1334" w:type="dxa"/>
            <w:tcBorders>
              <w:top w:val="nil"/>
              <w:left w:val="nil"/>
              <w:bottom w:val="single" w:color="auto" w:sz="4" w:space="0"/>
              <w:right w:val="single" w:color="auto" w:sz="4" w:space="0"/>
            </w:tcBorders>
            <w:shd w:val="clear" w:color="auto" w:fill="auto"/>
            <w:noWrap/>
            <w:vAlign w:val="center"/>
          </w:tcPr>
          <w:p w14:paraId="2601C6D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0.00 </w:t>
            </w:r>
          </w:p>
        </w:tc>
        <w:tc>
          <w:tcPr>
            <w:tcW w:w="660" w:type="pct"/>
            <w:tcBorders>
              <w:top w:val="nil"/>
              <w:left w:val="nil"/>
              <w:bottom w:val="single" w:color="auto" w:sz="4" w:space="0"/>
              <w:right w:val="single" w:color="auto" w:sz="4" w:space="0"/>
            </w:tcBorders>
            <w:shd w:val="clear" w:color="auto" w:fill="auto"/>
            <w:noWrap/>
            <w:vAlign w:val="center"/>
          </w:tcPr>
          <w:p w14:paraId="57B2C6A3">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76417F5C">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375FA9EF">
            <w:pPr>
              <w:widowControl/>
              <w:jc w:val="right"/>
              <w:rPr>
                <w:rFonts w:ascii="Times New Roman" w:hAnsi="Times New Roman" w:eastAsia="仿宋_GB2312" w:cs="Times New Roman"/>
                <w:kern w:val="0"/>
                <w:sz w:val="24"/>
                <w:szCs w:val="24"/>
              </w:rPr>
            </w:pPr>
          </w:p>
        </w:tc>
      </w:tr>
      <w:tr w14:paraId="7A90FA1D">
        <w:tblPrEx>
          <w:tblCellMar>
            <w:top w:w="0" w:type="dxa"/>
            <w:left w:w="108" w:type="dxa"/>
            <w:bottom w:w="0" w:type="dxa"/>
            <w:right w:w="108" w:type="dxa"/>
          </w:tblCellMar>
        </w:tblPrEx>
        <w:trPr>
          <w:trHeight w:val="595" w:hRule="atLeast"/>
          <w:jc w:val="center"/>
        </w:trPr>
        <w:tc>
          <w:tcPr>
            <w:tcW w:w="242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F0834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2120501</w:t>
            </w:r>
          </w:p>
        </w:tc>
        <w:tc>
          <w:tcPr>
            <w:tcW w:w="1337" w:type="dxa"/>
            <w:tcBorders>
              <w:top w:val="nil"/>
              <w:left w:val="nil"/>
              <w:bottom w:val="single" w:color="auto" w:sz="4" w:space="0"/>
              <w:right w:val="single" w:color="auto" w:sz="4" w:space="0"/>
            </w:tcBorders>
            <w:shd w:val="clear" w:color="000000" w:fill="FFFFFF"/>
            <w:noWrap/>
            <w:vAlign w:val="center"/>
          </w:tcPr>
          <w:p w14:paraId="0ECB51C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城乡社区环境卫生</w:t>
            </w:r>
          </w:p>
        </w:tc>
        <w:tc>
          <w:tcPr>
            <w:tcW w:w="1877" w:type="dxa"/>
            <w:tcBorders>
              <w:top w:val="nil"/>
              <w:left w:val="nil"/>
              <w:bottom w:val="single" w:color="auto" w:sz="4" w:space="0"/>
              <w:right w:val="single" w:color="auto" w:sz="4" w:space="0"/>
            </w:tcBorders>
            <w:shd w:val="clear" w:color="auto" w:fill="auto"/>
            <w:noWrap/>
            <w:vAlign w:val="center"/>
          </w:tcPr>
          <w:p w14:paraId="1E598F1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0.57 </w:t>
            </w:r>
          </w:p>
        </w:tc>
        <w:tc>
          <w:tcPr>
            <w:tcW w:w="1334" w:type="dxa"/>
            <w:tcBorders>
              <w:top w:val="nil"/>
              <w:left w:val="nil"/>
              <w:bottom w:val="single" w:color="auto" w:sz="4" w:space="0"/>
              <w:right w:val="single" w:color="auto" w:sz="4" w:space="0"/>
            </w:tcBorders>
            <w:shd w:val="clear" w:color="auto" w:fill="auto"/>
            <w:noWrap/>
            <w:vAlign w:val="center"/>
          </w:tcPr>
          <w:p w14:paraId="6B5F371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0.57 </w:t>
            </w:r>
          </w:p>
        </w:tc>
        <w:tc>
          <w:tcPr>
            <w:tcW w:w="1334" w:type="dxa"/>
            <w:tcBorders>
              <w:top w:val="nil"/>
              <w:left w:val="nil"/>
              <w:bottom w:val="single" w:color="auto" w:sz="4" w:space="0"/>
              <w:right w:val="single" w:color="auto" w:sz="4" w:space="0"/>
            </w:tcBorders>
            <w:shd w:val="clear" w:color="auto" w:fill="auto"/>
            <w:noWrap/>
            <w:vAlign w:val="center"/>
          </w:tcPr>
          <w:p w14:paraId="3DC3361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0.00 </w:t>
            </w:r>
          </w:p>
        </w:tc>
        <w:tc>
          <w:tcPr>
            <w:tcW w:w="660" w:type="pct"/>
            <w:tcBorders>
              <w:top w:val="nil"/>
              <w:left w:val="nil"/>
              <w:bottom w:val="single" w:color="auto" w:sz="4" w:space="0"/>
              <w:right w:val="single" w:color="auto" w:sz="4" w:space="0"/>
            </w:tcBorders>
            <w:shd w:val="clear" w:color="auto" w:fill="auto"/>
            <w:noWrap/>
            <w:vAlign w:val="center"/>
          </w:tcPr>
          <w:p w14:paraId="76280044">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0CCD2941">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042092F1">
            <w:pPr>
              <w:widowControl/>
              <w:jc w:val="right"/>
              <w:rPr>
                <w:rFonts w:ascii="Times New Roman" w:hAnsi="Times New Roman" w:eastAsia="仿宋_GB2312" w:cs="Times New Roman"/>
                <w:kern w:val="0"/>
                <w:sz w:val="24"/>
                <w:szCs w:val="24"/>
              </w:rPr>
            </w:pPr>
          </w:p>
        </w:tc>
      </w:tr>
      <w:tr w14:paraId="680D4F82">
        <w:tblPrEx>
          <w:tblCellMar>
            <w:top w:w="0" w:type="dxa"/>
            <w:left w:w="108" w:type="dxa"/>
            <w:bottom w:w="0" w:type="dxa"/>
            <w:right w:w="108" w:type="dxa"/>
          </w:tblCellMar>
        </w:tblPrEx>
        <w:trPr>
          <w:trHeight w:val="595" w:hRule="atLeast"/>
          <w:jc w:val="center"/>
        </w:trPr>
        <w:tc>
          <w:tcPr>
            <w:tcW w:w="242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33344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2130101</w:t>
            </w:r>
          </w:p>
        </w:tc>
        <w:tc>
          <w:tcPr>
            <w:tcW w:w="1337" w:type="dxa"/>
            <w:tcBorders>
              <w:top w:val="nil"/>
              <w:left w:val="nil"/>
              <w:bottom w:val="single" w:color="auto" w:sz="4" w:space="0"/>
              <w:right w:val="single" w:color="auto" w:sz="4" w:space="0"/>
            </w:tcBorders>
            <w:shd w:val="clear" w:color="000000" w:fill="FFFFFF"/>
            <w:noWrap/>
            <w:vAlign w:val="center"/>
          </w:tcPr>
          <w:p w14:paraId="70DBD5C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877" w:type="dxa"/>
            <w:tcBorders>
              <w:top w:val="nil"/>
              <w:left w:val="nil"/>
              <w:bottom w:val="single" w:color="auto" w:sz="4" w:space="0"/>
              <w:right w:val="single" w:color="auto" w:sz="4" w:space="0"/>
            </w:tcBorders>
            <w:shd w:val="clear" w:color="auto" w:fill="auto"/>
            <w:noWrap/>
            <w:vAlign w:val="center"/>
          </w:tcPr>
          <w:p w14:paraId="7E9B5EC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161.21 </w:t>
            </w:r>
          </w:p>
        </w:tc>
        <w:tc>
          <w:tcPr>
            <w:tcW w:w="1334" w:type="dxa"/>
            <w:tcBorders>
              <w:top w:val="nil"/>
              <w:left w:val="nil"/>
              <w:bottom w:val="single" w:color="auto" w:sz="4" w:space="0"/>
              <w:right w:val="single" w:color="auto" w:sz="4" w:space="0"/>
            </w:tcBorders>
            <w:shd w:val="clear" w:color="auto" w:fill="auto"/>
            <w:noWrap/>
            <w:vAlign w:val="center"/>
          </w:tcPr>
          <w:p w14:paraId="06A9A62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161.21 </w:t>
            </w:r>
          </w:p>
        </w:tc>
        <w:tc>
          <w:tcPr>
            <w:tcW w:w="1334" w:type="dxa"/>
            <w:tcBorders>
              <w:top w:val="nil"/>
              <w:left w:val="nil"/>
              <w:bottom w:val="single" w:color="auto" w:sz="4" w:space="0"/>
              <w:right w:val="single" w:color="auto" w:sz="4" w:space="0"/>
            </w:tcBorders>
            <w:shd w:val="clear" w:color="auto" w:fill="auto"/>
            <w:noWrap/>
            <w:vAlign w:val="center"/>
          </w:tcPr>
          <w:p w14:paraId="7453F61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0.00 </w:t>
            </w:r>
          </w:p>
        </w:tc>
        <w:tc>
          <w:tcPr>
            <w:tcW w:w="660" w:type="pct"/>
            <w:tcBorders>
              <w:top w:val="nil"/>
              <w:left w:val="nil"/>
              <w:bottom w:val="single" w:color="auto" w:sz="4" w:space="0"/>
              <w:right w:val="single" w:color="auto" w:sz="4" w:space="0"/>
            </w:tcBorders>
            <w:shd w:val="clear" w:color="auto" w:fill="auto"/>
            <w:noWrap/>
            <w:vAlign w:val="center"/>
          </w:tcPr>
          <w:p w14:paraId="4AFE64E9">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3B729008">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579C03E8">
            <w:pPr>
              <w:widowControl/>
              <w:jc w:val="right"/>
              <w:rPr>
                <w:rFonts w:ascii="Times New Roman" w:hAnsi="Times New Roman" w:eastAsia="仿宋_GB2312" w:cs="Times New Roman"/>
                <w:kern w:val="0"/>
                <w:sz w:val="24"/>
                <w:szCs w:val="24"/>
              </w:rPr>
            </w:pPr>
          </w:p>
        </w:tc>
      </w:tr>
      <w:tr w14:paraId="6616452C">
        <w:tblPrEx>
          <w:tblCellMar>
            <w:top w:w="0" w:type="dxa"/>
            <w:left w:w="108" w:type="dxa"/>
            <w:bottom w:w="0" w:type="dxa"/>
            <w:right w:w="108" w:type="dxa"/>
          </w:tblCellMar>
        </w:tblPrEx>
        <w:trPr>
          <w:trHeight w:val="595" w:hRule="atLeast"/>
          <w:jc w:val="center"/>
        </w:trPr>
        <w:tc>
          <w:tcPr>
            <w:tcW w:w="242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9DEC1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2130119</w:t>
            </w:r>
          </w:p>
        </w:tc>
        <w:tc>
          <w:tcPr>
            <w:tcW w:w="1337" w:type="dxa"/>
            <w:tcBorders>
              <w:top w:val="nil"/>
              <w:left w:val="nil"/>
              <w:bottom w:val="single" w:color="auto" w:sz="4" w:space="0"/>
              <w:right w:val="single" w:color="auto" w:sz="4" w:space="0"/>
            </w:tcBorders>
            <w:shd w:val="clear" w:color="000000" w:fill="FFFFFF"/>
            <w:noWrap/>
            <w:vAlign w:val="center"/>
          </w:tcPr>
          <w:p w14:paraId="7A3E220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防灾救灾</w:t>
            </w:r>
          </w:p>
        </w:tc>
        <w:tc>
          <w:tcPr>
            <w:tcW w:w="1877" w:type="dxa"/>
            <w:tcBorders>
              <w:top w:val="nil"/>
              <w:left w:val="nil"/>
              <w:bottom w:val="single" w:color="auto" w:sz="4" w:space="0"/>
              <w:right w:val="single" w:color="auto" w:sz="4" w:space="0"/>
            </w:tcBorders>
            <w:shd w:val="clear" w:color="auto" w:fill="auto"/>
            <w:noWrap/>
            <w:vAlign w:val="center"/>
          </w:tcPr>
          <w:p w14:paraId="1B8045F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2.00 </w:t>
            </w:r>
          </w:p>
        </w:tc>
        <w:tc>
          <w:tcPr>
            <w:tcW w:w="1334" w:type="dxa"/>
            <w:tcBorders>
              <w:top w:val="nil"/>
              <w:left w:val="nil"/>
              <w:bottom w:val="single" w:color="auto" w:sz="4" w:space="0"/>
              <w:right w:val="single" w:color="auto" w:sz="4" w:space="0"/>
            </w:tcBorders>
            <w:shd w:val="clear" w:color="auto" w:fill="auto"/>
            <w:noWrap/>
            <w:vAlign w:val="center"/>
          </w:tcPr>
          <w:p w14:paraId="2C68978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0.00 </w:t>
            </w:r>
          </w:p>
        </w:tc>
        <w:tc>
          <w:tcPr>
            <w:tcW w:w="1334" w:type="dxa"/>
            <w:tcBorders>
              <w:top w:val="nil"/>
              <w:left w:val="nil"/>
              <w:bottom w:val="single" w:color="auto" w:sz="4" w:space="0"/>
              <w:right w:val="single" w:color="auto" w:sz="4" w:space="0"/>
            </w:tcBorders>
            <w:shd w:val="clear" w:color="auto" w:fill="auto"/>
            <w:noWrap/>
            <w:vAlign w:val="center"/>
          </w:tcPr>
          <w:p w14:paraId="4486047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2.00 </w:t>
            </w:r>
          </w:p>
        </w:tc>
        <w:tc>
          <w:tcPr>
            <w:tcW w:w="660" w:type="pct"/>
            <w:tcBorders>
              <w:top w:val="nil"/>
              <w:left w:val="nil"/>
              <w:bottom w:val="single" w:color="auto" w:sz="4" w:space="0"/>
              <w:right w:val="single" w:color="auto" w:sz="4" w:space="0"/>
            </w:tcBorders>
            <w:shd w:val="clear" w:color="auto" w:fill="auto"/>
            <w:noWrap/>
            <w:vAlign w:val="center"/>
          </w:tcPr>
          <w:p w14:paraId="0785B2E5">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2475598D">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4AC40F27">
            <w:pPr>
              <w:widowControl/>
              <w:jc w:val="right"/>
              <w:rPr>
                <w:rFonts w:ascii="Times New Roman" w:hAnsi="Times New Roman" w:eastAsia="仿宋_GB2312" w:cs="Times New Roman"/>
                <w:kern w:val="0"/>
                <w:sz w:val="24"/>
                <w:szCs w:val="24"/>
              </w:rPr>
            </w:pPr>
          </w:p>
        </w:tc>
      </w:tr>
      <w:tr w14:paraId="4EA430A4">
        <w:tblPrEx>
          <w:tblCellMar>
            <w:top w:w="0" w:type="dxa"/>
            <w:left w:w="108" w:type="dxa"/>
            <w:bottom w:w="0" w:type="dxa"/>
            <w:right w:w="108" w:type="dxa"/>
          </w:tblCellMar>
        </w:tblPrEx>
        <w:trPr>
          <w:trHeight w:val="595" w:hRule="atLeast"/>
          <w:jc w:val="center"/>
        </w:trPr>
        <w:tc>
          <w:tcPr>
            <w:tcW w:w="242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4D99D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2130201</w:t>
            </w:r>
          </w:p>
        </w:tc>
        <w:tc>
          <w:tcPr>
            <w:tcW w:w="1337" w:type="dxa"/>
            <w:tcBorders>
              <w:top w:val="nil"/>
              <w:left w:val="nil"/>
              <w:bottom w:val="single" w:color="auto" w:sz="4" w:space="0"/>
              <w:right w:val="single" w:color="auto" w:sz="4" w:space="0"/>
            </w:tcBorders>
            <w:shd w:val="clear" w:color="000000" w:fill="FFFFFF"/>
            <w:noWrap/>
            <w:vAlign w:val="center"/>
          </w:tcPr>
          <w:p w14:paraId="6614814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877" w:type="dxa"/>
            <w:tcBorders>
              <w:top w:val="nil"/>
              <w:left w:val="nil"/>
              <w:bottom w:val="single" w:color="auto" w:sz="4" w:space="0"/>
              <w:right w:val="single" w:color="auto" w:sz="4" w:space="0"/>
            </w:tcBorders>
            <w:shd w:val="clear" w:color="auto" w:fill="auto"/>
            <w:noWrap/>
            <w:vAlign w:val="center"/>
          </w:tcPr>
          <w:p w14:paraId="47641F9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2224.01 </w:t>
            </w:r>
          </w:p>
        </w:tc>
        <w:tc>
          <w:tcPr>
            <w:tcW w:w="1334" w:type="dxa"/>
            <w:tcBorders>
              <w:top w:val="nil"/>
              <w:left w:val="nil"/>
              <w:bottom w:val="single" w:color="auto" w:sz="4" w:space="0"/>
              <w:right w:val="single" w:color="auto" w:sz="4" w:space="0"/>
            </w:tcBorders>
            <w:shd w:val="clear" w:color="auto" w:fill="auto"/>
            <w:noWrap/>
            <w:vAlign w:val="center"/>
          </w:tcPr>
          <w:p w14:paraId="6D84A03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2224.01 </w:t>
            </w:r>
          </w:p>
        </w:tc>
        <w:tc>
          <w:tcPr>
            <w:tcW w:w="1334" w:type="dxa"/>
            <w:tcBorders>
              <w:top w:val="nil"/>
              <w:left w:val="nil"/>
              <w:bottom w:val="single" w:color="auto" w:sz="4" w:space="0"/>
              <w:right w:val="single" w:color="auto" w:sz="4" w:space="0"/>
            </w:tcBorders>
            <w:shd w:val="clear" w:color="auto" w:fill="auto"/>
            <w:noWrap/>
            <w:vAlign w:val="center"/>
          </w:tcPr>
          <w:p w14:paraId="1EA6043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0.00 </w:t>
            </w:r>
          </w:p>
        </w:tc>
        <w:tc>
          <w:tcPr>
            <w:tcW w:w="660" w:type="pct"/>
            <w:tcBorders>
              <w:top w:val="nil"/>
              <w:left w:val="nil"/>
              <w:bottom w:val="single" w:color="auto" w:sz="4" w:space="0"/>
              <w:right w:val="single" w:color="auto" w:sz="4" w:space="0"/>
            </w:tcBorders>
            <w:shd w:val="clear" w:color="auto" w:fill="auto"/>
            <w:noWrap/>
            <w:vAlign w:val="center"/>
          </w:tcPr>
          <w:p w14:paraId="24948D56">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31B8FE25">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6EB1B103">
            <w:pPr>
              <w:widowControl/>
              <w:jc w:val="right"/>
              <w:rPr>
                <w:rFonts w:ascii="Times New Roman" w:hAnsi="Times New Roman" w:eastAsia="仿宋_GB2312" w:cs="Times New Roman"/>
                <w:kern w:val="0"/>
                <w:sz w:val="24"/>
                <w:szCs w:val="24"/>
              </w:rPr>
            </w:pPr>
          </w:p>
        </w:tc>
      </w:tr>
      <w:tr w14:paraId="4FC2FBF0">
        <w:tblPrEx>
          <w:tblCellMar>
            <w:top w:w="0" w:type="dxa"/>
            <w:left w:w="108" w:type="dxa"/>
            <w:bottom w:w="0" w:type="dxa"/>
            <w:right w:w="108" w:type="dxa"/>
          </w:tblCellMar>
        </w:tblPrEx>
        <w:trPr>
          <w:trHeight w:val="595" w:hRule="atLeast"/>
          <w:jc w:val="center"/>
        </w:trPr>
        <w:tc>
          <w:tcPr>
            <w:tcW w:w="242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119879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2130205</w:t>
            </w:r>
          </w:p>
        </w:tc>
        <w:tc>
          <w:tcPr>
            <w:tcW w:w="1337" w:type="dxa"/>
            <w:tcBorders>
              <w:top w:val="nil"/>
              <w:left w:val="nil"/>
              <w:bottom w:val="single" w:color="auto" w:sz="4" w:space="0"/>
              <w:right w:val="single" w:color="auto" w:sz="4" w:space="0"/>
            </w:tcBorders>
            <w:shd w:val="clear" w:color="000000" w:fill="FFFFFF"/>
            <w:noWrap/>
            <w:vAlign w:val="center"/>
          </w:tcPr>
          <w:p w14:paraId="4E0974D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森林资源培育</w:t>
            </w:r>
          </w:p>
        </w:tc>
        <w:tc>
          <w:tcPr>
            <w:tcW w:w="1877" w:type="dxa"/>
            <w:tcBorders>
              <w:top w:val="nil"/>
              <w:left w:val="nil"/>
              <w:bottom w:val="single" w:color="auto" w:sz="4" w:space="0"/>
              <w:right w:val="single" w:color="auto" w:sz="4" w:space="0"/>
            </w:tcBorders>
            <w:shd w:val="clear" w:color="auto" w:fill="auto"/>
            <w:noWrap/>
            <w:vAlign w:val="center"/>
          </w:tcPr>
          <w:p w14:paraId="26264FF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869.82 </w:t>
            </w:r>
          </w:p>
        </w:tc>
        <w:tc>
          <w:tcPr>
            <w:tcW w:w="1334" w:type="dxa"/>
            <w:tcBorders>
              <w:top w:val="nil"/>
              <w:left w:val="nil"/>
              <w:bottom w:val="single" w:color="auto" w:sz="4" w:space="0"/>
              <w:right w:val="single" w:color="auto" w:sz="4" w:space="0"/>
            </w:tcBorders>
            <w:shd w:val="clear" w:color="auto" w:fill="auto"/>
            <w:noWrap/>
            <w:vAlign w:val="center"/>
          </w:tcPr>
          <w:p w14:paraId="647F499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0.00 </w:t>
            </w:r>
          </w:p>
        </w:tc>
        <w:tc>
          <w:tcPr>
            <w:tcW w:w="1334" w:type="dxa"/>
            <w:tcBorders>
              <w:top w:val="nil"/>
              <w:left w:val="nil"/>
              <w:bottom w:val="single" w:color="auto" w:sz="4" w:space="0"/>
              <w:right w:val="single" w:color="auto" w:sz="4" w:space="0"/>
            </w:tcBorders>
            <w:shd w:val="clear" w:color="auto" w:fill="auto"/>
            <w:noWrap/>
            <w:vAlign w:val="center"/>
          </w:tcPr>
          <w:p w14:paraId="11C70CA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869.82 </w:t>
            </w:r>
          </w:p>
        </w:tc>
        <w:tc>
          <w:tcPr>
            <w:tcW w:w="660" w:type="pct"/>
            <w:tcBorders>
              <w:top w:val="nil"/>
              <w:left w:val="nil"/>
              <w:bottom w:val="single" w:color="auto" w:sz="4" w:space="0"/>
              <w:right w:val="single" w:color="auto" w:sz="4" w:space="0"/>
            </w:tcBorders>
            <w:shd w:val="clear" w:color="auto" w:fill="auto"/>
            <w:noWrap/>
            <w:vAlign w:val="center"/>
          </w:tcPr>
          <w:p w14:paraId="5E0C1A62">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209335C9">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07288C73">
            <w:pPr>
              <w:widowControl/>
              <w:jc w:val="right"/>
              <w:rPr>
                <w:rFonts w:ascii="Times New Roman" w:hAnsi="Times New Roman" w:eastAsia="仿宋_GB2312" w:cs="Times New Roman"/>
                <w:kern w:val="0"/>
                <w:sz w:val="24"/>
                <w:szCs w:val="24"/>
              </w:rPr>
            </w:pPr>
          </w:p>
        </w:tc>
      </w:tr>
      <w:tr w14:paraId="660349FD">
        <w:tblPrEx>
          <w:tblCellMar>
            <w:top w:w="0" w:type="dxa"/>
            <w:left w:w="108" w:type="dxa"/>
            <w:bottom w:w="0" w:type="dxa"/>
            <w:right w:w="108" w:type="dxa"/>
          </w:tblCellMar>
        </w:tblPrEx>
        <w:trPr>
          <w:trHeight w:val="595" w:hRule="atLeast"/>
          <w:jc w:val="center"/>
        </w:trPr>
        <w:tc>
          <w:tcPr>
            <w:tcW w:w="242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E64DD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2130207</w:t>
            </w:r>
          </w:p>
        </w:tc>
        <w:tc>
          <w:tcPr>
            <w:tcW w:w="1337" w:type="dxa"/>
            <w:tcBorders>
              <w:top w:val="nil"/>
              <w:left w:val="nil"/>
              <w:bottom w:val="single" w:color="auto" w:sz="4" w:space="0"/>
              <w:right w:val="single" w:color="auto" w:sz="4" w:space="0"/>
            </w:tcBorders>
            <w:shd w:val="clear" w:color="000000" w:fill="FFFFFF"/>
            <w:noWrap/>
            <w:vAlign w:val="center"/>
          </w:tcPr>
          <w:p w14:paraId="72B741A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森林资源管理</w:t>
            </w:r>
          </w:p>
        </w:tc>
        <w:tc>
          <w:tcPr>
            <w:tcW w:w="1877" w:type="dxa"/>
            <w:tcBorders>
              <w:top w:val="nil"/>
              <w:left w:val="nil"/>
              <w:bottom w:val="single" w:color="auto" w:sz="4" w:space="0"/>
              <w:right w:val="single" w:color="auto" w:sz="4" w:space="0"/>
            </w:tcBorders>
            <w:shd w:val="clear" w:color="auto" w:fill="auto"/>
            <w:noWrap/>
            <w:vAlign w:val="center"/>
          </w:tcPr>
          <w:p w14:paraId="6C88985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447.87 </w:t>
            </w:r>
          </w:p>
        </w:tc>
        <w:tc>
          <w:tcPr>
            <w:tcW w:w="1334" w:type="dxa"/>
            <w:tcBorders>
              <w:top w:val="nil"/>
              <w:left w:val="nil"/>
              <w:bottom w:val="single" w:color="auto" w:sz="4" w:space="0"/>
              <w:right w:val="single" w:color="auto" w:sz="4" w:space="0"/>
            </w:tcBorders>
            <w:shd w:val="clear" w:color="auto" w:fill="auto"/>
            <w:noWrap/>
            <w:vAlign w:val="center"/>
          </w:tcPr>
          <w:p w14:paraId="0A680C7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43.20 </w:t>
            </w:r>
          </w:p>
        </w:tc>
        <w:tc>
          <w:tcPr>
            <w:tcW w:w="1334" w:type="dxa"/>
            <w:tcBorders>
              <w:top w:val="nil"/>
              <w:left w:val="nil"/>
              <w:bottom w:val="single" w:color="auto" w:sz="4" w:space="0"/>
              <w:right w:val="single" w:color="auto" w:sz="4" w:space="0"/>
            </w:tcBorders>
            <w:shd w:val="clear" w:color="auto" w:fill="auto"/>
            <w:noWrap/>
            <w:vAlign w:val="center"/>
          </w:tcPr>
          <w:p w14:paraId="7B86AFC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404.67 </w:t>
            </w:r>
          </w:p>
        </w:tc>
        <w:tc>
          <w:tcPr>
            <w:tcW w:w="660" w:type="pct"/>
            <w:tcBorders>
              <w:top w:val="nil"/>
              <w:left w:val="nil"/>
              <w:bottom w:val="single" w:color="auto" w:sz="4" w:space="0"/>
              <w:right w:val="single" w:color="auto" w:sz="4" w:space="0"/>
            </w:tcBorders>
            <w:shd w:val="clear" w:color="auto" w:fill="auto"/>
            <w:noWrap/>
            <w:vAlign w:val="center"/>
          </w:tcPr>
          <w:p w14:paraId="7576A9DE">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5A9B0F80">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7A3E658D">
            <w:pPr>
              <w:widowControl/>
              <w:jc w:val="right"/>
              <w:rPr>
                <w:rFonts w:ascii="Times New Roman" w:hAnsi="Times New Roman" w:eastAsia="仿宋_GB2312" w:cs="Times New Roman"/>
                <w:kern w:val="0"/>
                <w:sz w:val="24"/>
                <w:szCs w:val="24"/>
              </w:rPr>
            </w:pPr>
          </w:p>
        </w:tc>
      </w:tr>
      <w:tr w14:paraId="5CEC96FB">
        <w:tblPrEx>
          <w:tblCellMar>
            <w:top w:w="0" w:type="dxa"/>
            <w:left w:w="108" w:type="dxa"/>
            <w:bottom w:w="0" w:type="dxa"/>
            <w:right w:w="108" w:type="dxa"/>
          </w:tblCellMar>
        </w:tblPrEx>
        <w:trPr>
          <w:trHeight w:val="595" w:hRule="atLeast"/>
          <w:jc w:val="center"/>
        </w:trPr>
        <w:tc>
          <w:tcPr>
            <w:tcW w:w="242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AB6E1A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2130209</w:t>
            </w:r>
          </w:p>
        </w:tc>
        <w:tc>
          <w:tcPr>
            <w:tcW w:w="1337" w:type="dxa"/>
            <w:tcBorders>
              <w:top w:val="nil"/>
              <w:left w:val="nil"/>
              <w:bottom w:val="single" w:color="auto" w:sz="4" w:space="0"/>
              <w:right w:val="single" w:color="auto" w:sz="4" w:space="0"/>
            </w:tcBorders>
            <w:shd w:val="clear" w:color="000000" w:fill="FFFFFF"/>
            <w:noWrap/>
            <w:vAlign w:val="center"/>
          </w:tcPr>
          <w:p w14:paraId="713A43C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森林生态效益补偿</w:t>
            </w:r>
          </w:p>
        </w:tc>
        <w:tc>
          <w:tcPr>
            <w:tcW w:w="1877" w:type="dxa"/>
            <w:tcBorders>
              <w:top w:val="nil"/>
              <w:left w:val="nil"/>
              <w:bottom w:val="single" w:color="auto" w:sz="4" w:space="0"/>
              <w:right w:val="single" w:color="auto" w:sz="4" w:space="0"/>
            </w:tcBorders>
            <w:shd w:val="clear" w:color="auto" w:fill="auto"/>
            <w:noWrap/>
            <w:vAlign w:val="center"/>
          </w:tcPr>
          <w:p w14:paraId="69DFBA9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1.62 </w:t>
            </w:r>
          </w:p>
        </w:tc>
        <w:tc>
          <w:tcPr>
            <w:tcW w:w="1334" w:type="dxa"/>
            <w:tcBorders>
              <w:top w:val="nil"/>
              <w:left w:val="nil"/>
              <w:bottom w:val="single" w:color="auto" w:sz="4" w:space="0"/>
              <w:right w:val="single" w:color="auto" w:sz="4" w:space="0"/>
            </w:tcBorders>
            <w:shd w:val="clear" w:color="auto" w:fill="auto"/>
            <w:noWrap/>
            <w:vAlign w:val="center"/>
          </w:tcPr>
          <w:p w14:paraId="789C53F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0.00 </w:t>
            </w:r>
          </w:p>
        </w:tc>
        <w:tc>
          <w:tcPr>
            <w:tcW w:w="1334" w:type="dxa"/>
            <w:tcBorders>
              <w:top w:val="nil"/>
              <w:left w:val="nil"/>
              <w:bottom w:val="single" w:color="auto" w:sz="4" w:space="0"/>
              <w:right w:val="single" w:color="auto" w:sz="4" w:space="0"/>
            </w:tcBorders>
            <w:shd w:val="clear" w:color="auto" w:fill="auto"/>
            <w:noWrap/>
            <w:vAlign w:val="center"/>
          </w:tcPr>
          <w:p w14:paraId="77A78F2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1.62 </w:t>
            </w:r>
          </w:p>
        </w:tc>
        <w:tc>
          <w:tcPr>
            <w:tcW w:w="660" w:type="pct"/>
            <w:tcBorders>
              <w:top w:val="nil"/>
              <w:left w:val="nil"/>
              <w:bottom w:val="single" w:color="auto" w:sz="4" w:space="0"/>
              <w:right w:val="single" w:color="auto" w:sz="4" w:space="0"/>
            </w:tcBorders>
            <w:shd w:val="clear" w:color="auto" w:fill="auto"/>
            <w:noWrap/>
            <w:vAlign w:val="center"/>
          </w:tcPr>
          <w:p w14:paraId="756F99E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0FAD8D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64B13A1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B996439">
        <w:tblPrEx>
          <w:tblCellMar>
            <w:top w:w="0" w:type="dxa"/>
            <w:left w:w="108" w:type="dxa"/>
            <w:bottom w:w="0" w:type="dxa"/>
            <w:right w:w="108" w:type="dxa"/>
          </w:tblCellMar>
        </w:tblPrEx>
        <w:trPr>
          <w:trHeight w:val="595" w:hRule="atLeast"/>
          <w:jc w:val="center"/>
        </w:trPr>
        <w:tc>
          <w:tcPr>
            <w:tcW w:w="242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F45728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2130211</w:t>
            </w:r>
          </w:p>
        </w:tc>
        <w:tc>
          <w:tcPr>
            <w:tcW w:w="1337" w:type="dxa"/>
            <w:tcBorders>
              <w:top w:val="nil"/>
              <w:left w:val="nil"/>
              <w:bottom w:val="single" w:color="auto" w:sz="4" w:space="0"/>
              <w:right w:val="single" w:color="auto" w:sz="4" w:space="0"/>
            </w:tcBorders>
            <w:shd w:val="clear" w:color="000000" w:fill="FFFFFF"/>
            <w:noWrap/>
            <w:vAlign w:val="center"/>
          </w:tcPr>
          <w:p w14:paraId="4F67CE7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动植物保护</w:t>
            </w:r>
          </w:p>
        </w:tc>
        <w:tc>
          <w:tcPr>
            <w:tcW w:w="1877" w:type="dxa"/>
            <w:tcBorders>
              <w:top w:val="nil"/>
              <w:left w:val="nil"/>
              <w:bottom w:val="single" w:color="auto" w:sz="4" w:space="0"/>
              <w:right w:val="single" w:color="auto" w:sz="4" w:space="0"/>
            </w:tcBorders>
            <w:shd w:val="clear" w:color="auto" w:fill="auto"/>
            <w:noWrap/>
            <w:vAlign w:val="center"/>
          </w:tcPr>
          <w:p w14:paraId="02EEC76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261.45 </w:t>
            </w:r>
          </w:p>
        </w:tc>
        <w:tc>
          <w:tcPr>
            <w:tcW w:w="1334" w:type="dxa"/>
            <w:tcBorders>
              <w:top w:val="nil"/>
              <w:left w:val="nil"/>
              <w:bottom w:val="single" w:color="auto" w:sz="4" w:space="0"/>
              <w:right w:val="single" w:color="auto" w:sz="4" w:space="0"/>
            </w:tcBorders>
            <w:shd w:val="clear" w:color="auto" w:fill="auto"/>
            <w:noWrap/>
            <w:vAlign w:val="center"/>
          </w:tcPr>
          <w:p w14:paraId="3C2C8C9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0.00 </w:t>
            </w:r>
          </w:p>
        </w:tc>
        <w:tc>
          <w:tcPr>
            <w:tcW w:w="1334" w:type="dxa"/>
            <w:tcBorders>
              <w:top w:val="nil"/>
              <w:left w:val="nil"/>
              <w:bottom w:val="single" w:color="auto" w:sz="4" w:space="0"/>
              <w:right w:val="single" w:color="auto" w:sz="4" w:space="0"/>
            </w:tcBorders>
            <w:shd w:val="clear" w:color="auto" w:fill="auto"/>
            <w:noWrap/>
            <w:vAlign w:val="center"/>
          </w:tcPr>
          <w:p w14:paraId="2961B3F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261.45 </w:t>
            </w:r>
          </w:p>
        </w:tc>
        <w:tc>
          <w:tcPr>
            <w:tcW w:w="660" w:type="pct"/>
            <w:tcBorders>
              <w:top w:val="nil"/>
              <w:left w:val="nil"/>
              <w:bottom w:val="single" w:color="auto" w:sz="4" w:space="0"/>
              <w:right w:val="single" w:color="auto" w:sz="4" w:space="0"/>
            </w:tcBorders>
            <w:shd w:val="clear" w:color="auto" w:fill="auto"/>
            <w:noWrap/>
            <w:vAlign w:val="center"/>
          </w:tcPr>
          <w:p w14:paraId="4837CF2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C159A6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DE1272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FA76D95">
        <w:tblPrEx>
          <w:tblCellMar>
            <w:top w:w="0" w:type="dxa"/>
            <w:left w:w="108" w:type="dxa"/>
            <w:bottom w:w="0" w:type="dxa"/>
            <w:right w:w="108" w:type="dxa"/>
          </w:tblCellMar>
        </w:tblPrEx>
        <w:trPr>
          <w:trHeight w:val="595" w:hRule="atLeast"/>
          <w:jc w:val="center"/>
        </w:trPr>
        <w:tc>
          <w:tcPr>
            <w:tcW w:w="242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FD3E7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2130234</w:t>
            </w:r>
          </w:p>
        </w:tc>
        <w:tc>
          <w:tcPr>
            <w:tcW w:w="1337" w:type="dxa"/>
            <w:tcBorders>
              <w:top w:val="nil"/>
              <w:left w:val="nil"/>
              <w:bottom w:val="single" w:color="auto" w:sz="4" w:space="0"/>
              <w:right w:val="single" w:color="auto" w:sz="4" w:space="0"/>
            </w:tcBorders>
            <w:shd w:val="clear" w:color="000000" w:fill="FFFFFF"/>
            <w:noWrap/>
            <w:vAlign w:val="center"/>
          </w:tcPr>
          <w:p w14:paraId="1167B13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林业草原防灾减灾</w:t>
            </w:r>
          </w:p>
        </w:tc>
        <w:tc>
          <w:tcPr>
            <w:tcW w:w="1877" w:type="dxa"/>
            <w:tcBorders>
              <w:top w:val="nil"/>
              <w:left w:val="nil"/>
              <w:bottom w:val="single" w:color="auto" w:sz="4" w:space="0"/>
              <w:right w:val="single" w:color="auto" w:sz="4" w:space="0"/>
            </w:tcBorders>
            <w:shd w:val="clear" w:color="auto" w:fill="auto"/>
            <w:noWrap/>
            <w:vAlign w:val="center"/>
          </w:tcPr>
          <w:p w14:paraId="67D8A19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574.41 </w:t>
            </w:r>
          </w:p>
        </w:tc>
        <w:tc>
          <w:tcPr>
            <w:tcW w:w="1334" w:type="dxa"/>
            <w:tcBorders>
              <w:top w:val="nil"/>
              <w:left w:val="nil"/>
              <w:bottom w:val="single" w:color="auto" w:sz="4" w:space="0"/>
              <w:right w:val="single" w:color="auto" w:sz="4" w:space="0"/>
            </w:tcBorders>
            <w:shd w:val="clear" w:color="auto" w:fill="auto"/>
            <w:noWrap/>
            <w:vAlign w:val="center"/>
          </w:tcPr>
          <w:p w14:paraId="071EEC5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2.49 </w:t>
            </w:r>
          </w:p>
        </w:tc>
        <w:tc>
          <w:tcPr>
            <w:tcW w:w="1334" w:type="dxa"/>
            <w:tcBorders>
              <w:top w:val="nil"/>
              <w:left w:val="nil"/>
              <w:bottom w:val="single" w:color="auto" w:sz="4" w:space="0"/>
              <w:right w:val="single" w:color="auto" w:sz="4" w:space="0"/>
            </w:tcBorders>
            <w:shd w:val="clear" w:color="auto" w:fill="auto"/>
            <w:noWrap/>
            <w:vAlign w:val="center"/>
          </w:tcPr>
          <w:p w14:paraId="3BB94FC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571.92 </w:t>
            </w:r>
          </w:p>
        </w:tc>
        <w:tc>
          <w:tcPr>
            <w:tcW w:w="660" w:type="pct"/>
            <w:tcBorders>
              <w:top w:val="nil"/>
              <w:left w:val="nil"/>
              <w:bottom w:val="single" w:color="auto" w:sz="4" w:space="0"/>
              <w:right w:val="single" w:color="auto" w:sz="4" w:space="0"/>
            </w:tcBorders>
            <w:shd w:val="clear" w:color="auto" w:fill="auto"/>
            <w:noWrap/>
            <w:vAlign w:val="center"/>
          </w:tcPr>
          <w:p w14:paraId="3999636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42FB2AB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502184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EF442D2">
        <w:tblPrEx>
          <w:tblCellMar>
            <w:top w:w="0" w:type="dxa"/>
            <w:left w:w="108" w:type="dxa"/>
            <w:bottom w:w="0" w:type="dxa"/>
            <w:right w:w="108" w:type="dxa"/>
          </w:tblCellMar>
        </w:tblPrEx>
        <w:trPr>
          <w:trHeight w:val="595" w:hRule="atLeast"/>
          <w:jc w:val="center"/>
        </w:trPr>
        <w:tc>
          <w:tcPr>
            <w:tcW w:w="242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96AA8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1337" w:type="dxa"/>
            <w:tcBorders>
              <w:top w:val="nil"/>
              <w:left w:val="nil"/>
              <w:bottom w:val="single" w:color="auto" w:sz="4" w:space="0"/>
              <w:right w:val="single" w:color="auto" w:sz="4" w:space="0"/>
            </w:tcBorders>
            <w:shd w:val="clear" w:color="000000" w:fill="FFFFFF"/>
            <w:noWrap/>
            <w:vAlign w:val="center"/>
          </w:tcPr>
          <w:p w14:paraId="68928EF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877" w:type="dxa"/>
            <w:tcBorders>
              <w:top w:val="nil"/>
              <w:left w:val="nil"/>
              <w:bottom w:val="single" w:color="auto" w:sz="4" w:space="0"/>
              <w:right w:val="single" w:color="auto" w:sz="4" w:space="0"/>
            </w:tcBorders>
            <w:shd w:val="clear" w:color="auto" w:fill="auto"/>
            <w:noWrap/>
            <w:vAlign w:val="center"/>
          </w:tcPr>
          <w:p w14:paraId="73FC91C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55.64 </w:t>
            </w:r>
          </w:p>
        </w:tc>
        <w:tc>
          <w:tcPr>
            <w:tcW w:w="1334" w:type="dxa"/>
            <w:tcBorders>
              <w:top w:val="nil"/>
              <w:left w:val="nil"/>
              <w:bottom w:val="single" w:color="auto" w:sz="4" w:space="0"/>
              <w:right w:val="single" w:color="auto" w:sz="4" w:space="0"/>
            </w:tcBorders>
            <w:shd w:val="clear" w:color="auto" w:fill="auto"/>
            <w:noWrap/>
            <w:vAlign w:val="center"/>
          </w:tcPr>
          <w:p w14:paraId="60D37F8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42.47 </w:t>
            </w:r>
          </w:p>
        </w:tc>
        <w:tc>
          <w:tcPr>
            <w:tcW w:w="1334" w:type="dxa"/>
            <w:tcBorders>
              <w:top w:val="nil"/>
              <w:left w:val="nil"/>
              <w:bottom w:val="single" w:color="auto" w:sz="4" w:space="0"/>
              <w:right w:val="single" w:color="auto" w:sz="4" w:space="0"/>
            </w:tcBorders>
            <w:shd w:val="clear" w:color="auto" w:fill="auto"/>
            <w:noWrap/>
            <w:vAlign w:val="center"/>
          </w:tcPr>
          <w:p w14:paraId="2D4B655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13.17 </w:t>
            </w:r>
          </w:p>
        </w:tc>
        <w:tc>
          <w:tcPr>
            <w:tcW w:w="660" w:type="pct"/>
            <w:tcBorders>
              <w:top w:val="nil"/>
              <w:left w:val="nil"/>
              <w:bottom w:val="single" w:color="auto" w:sz="4" w:space="0"/>
              <w:right w:val="single" w:color="auto" w:sz="4" w:space="0"/>
            </w:tcBorders>
            <w:shd w:val="clear" w:color="auto" w:fill="auto"/>
            <w:noWrap/>
            <w:vAlign w:val="center"/>
          </w:tcPr>
          <w:p w14:paraId="122FEFF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4FBA65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1EE797D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1B1A717">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35E92DF">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000000" w:fill="FFFFFF"/>
            <w:noWrap/>
            <w:vAlign w:val="center"/>
          </w:tcPr>
          <w:p w14:paraId="39013912">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37A5022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CA8C1D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35A0A7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1D0A062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4E3EA01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6627774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6AC898DD">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3522A817">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547D0856">
      <w:pPr>
        <w:widowControl/>
        <w:spacing w:line="400" w:lineRule="exact"/>
        <w:jc w:val="center"/>
        <w:textAlignment w:val="center"/>
        <w:rPr>
          <w:rFonts w:ascii="Times New Roman" w:hAnsi="Times New Roman" w:eastAsia="黑体" w:cs="Times New Roman"/>
          <w:color w:val="000000"/>
          <w:kern w:val="0"/>
          <w:sz w:val="32"/>
          <w:szCs w:val="32"/>
          <w:lang w:bidi="ar"/>
        </w:rPr>
      </w:pPr>
    </w:p>
    <w:p w14:paraId="4494974A">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CC3E6D1">
      <w:pPr>
        <w:widowControl/>
        <w:spacing w:after="156" w:afterLines="50"/>
        <w:jc w:val="center"/>
        <w:textAlignment w:val="center"/>
        <w:rPr>
          <w:rFonts w:ascii="Times New Roman" w:hAnsi="Times New Roman" w:eastAsia="黑体" w:cs="Times New Roman"/>
          <w:color w:val="000000"/>
          <w:kern w:val="0"/>
          <w:sz w:val="36"/>
          <w:szCs w:val="36"/>
          <w:lang w:bidi="ar"/>
        </w:rPr>
      </w:pPr>
    </w:p>
    <w:p w14:paraId="3A54D5A4">
      <w:pPr>
        <w:widowControl/>
        <w:spacing w:after="156" w:afterLines="50"/>
        <w:jc w:val="center"/>
        <w:textAlignment w:val="center"/>
        <w:rPr>
          <w:rFonts w:ascii="Times New Roman" w:hAnsi="Times New Roman" w:eastAsia="黑体" w:cs="Times New Roman"/>
          <w:color w:val="000000"/>
          <w:kern w:val="0"/>
          <w:sz w:val="36"/>
          <w:szCs w:val="36"/>
          <w:lang w:bidi="ar"/>
        </w:rPr>
      </w:pPr>
    </w:p>
    <w:p w14:paraId="5B4B3974">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42958BE4">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20DCBEFB">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3"/>
        <w:tblW w:w="0" w:type="auto"/>
        <w:jc w:val="center"/>
        <w:tblLayout w:type="autofit"/>
        <w:tblCellMar>
          <w:top w:w="0" w:type="dxa"/>
          <w:left w:w="108" w:type="dxa"/>
          <w:bottom w:w="0" w:type="dxa"/>
          <w:right w:w="108" w:type="dxa"/>
        </w:tblCellMar>
      </w:tblPr>
      <w:tblGrid>
        <w:gridCol w:w="3516"/>
        <w:gridCol w:w="616"/>
        <w:gridCol w:w="931"/>
        <w:gridCol w:w="2636"/>
        <w:gridCol w:w="616"/>
        <w:gridCol w:w="696"/>
        <w:gridCol w:w="1678"/>
        <w:gridCol w:w="1703"/>
        <w:gridCol w:w="1828"/>
      </w:tblGrid>
      <w:tr w14:paraId="66B7074D">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D290D3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5BBFBA3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2E2702FC">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85F0FD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42D6EE9E">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03FB22A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52D166F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544078CD">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4110513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02093DF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198C896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24A3EAF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484B950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504D28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163888B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4E47583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794825A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2CAFDD7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2545548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4F65C0D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41E9B32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5ECA4E6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25894D3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2CCB3A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17585A9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0DF341F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4820.39</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6BA811CB">
            <w:pPr>
              <w:widowControl/>
              <w:jc w:val="left"/>
              <w:textAlignment w:val="center"/>
              <w:rPr>
                <w:rFonts w:ascii="Times New Roman" w:hAnsi="Times New Roman" w:eastAsia="仿宋_GB2312" w:cs="Times New Roman"/>
                <w:kern w:val="0"/>
                <w:sz w:val="22"/>
              </w:rPr>
            </w:pPr>
            <w:r>
              <w:rPr>
                <w:rFonts w:ascii="Times New Roman" w:hAnsi="Times New Roman" w:eastAsia="仿宋_GB2312" w:cs="Times New Roman"/>
                <w:color w:val="000000"/>
                <w:kern w:val="0"/>
                <w:sz w:val="22"/>
                <w:lang w:bidi="ar"/>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324D6DB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0" w:type="auto"/>
            <w:tcBorders>
              <w:top w:val="nil"/>
              <w:left w:val="nil"/>
              <w:bottom w:val="single" w:color="auto" w:sz="4" w:space="0"/>
              <w:right w:val="single" w:color="auto" w:sz="4" w:space="0"/>
            </w:tcBorders>
            <w:shd w:val="clear" w:color="auto" w:fill="auto"/>
            <w:noWrap/>
            <w:vAlign w:val="center"/>
          </w:tcPr>
          <w:p w14:paraId="7CCE99C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14:paraId="39EE37C6">
            <w:pPr>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9.5</w:t>
            </w:r>
          </w:p>
        </w:tc>
        <w:tc>
          <w:tcPr>
            <w:tcW w:w="0" w:type="auto"/>
            <w:tcBorders>
              <w:top w:val="nil"/>
              <w:left w:val="nil"/>
              <w:bottom w:val="single" w:color="auto" w:sz="4" w:space="0"/>
              <w:right w:val="single" w:color="auto" w:sz="4" w:space="0"/>
            </w:tcBorders>
            <w:shd w:val="clear" w:color="auto" w:fill="auto"/>
            <w:noWrap/>
            <w:vAlign w:val="center"/>
          </w:tcPr>
          <w:p w14:paraId="16850A1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FFE56A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F59037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EB3A42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131B423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20D7D00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3F138CBD">
            <w:pPr>
              <w:widowControl/>
              <w:jc w:val="left"/>
              <w:textAlignment w:val="center"/>
              <w:rPr>
                <w:rFonts w:ascii="Times New Roman" w:hAnsi="Times New Roman" w:eastAsia="仿宋_GB2312" w:cs="Times New Roman"/>
                <w:kern w:val="0"/>
                <w:sz w:val="22"/>
              </w:rPr>
            </w:pPr>
            <w:r>
              <w:rPr>
                <w:rFonts w:ascii="Times New Roman" w:hAnsi="Times New Roman" w:eastAsia="仿宋_GB2312" w:cs="Times New Roman"/>
                <w:color w:val="000000"/>
                <w:kern w:val="0"/>
                <w:sz w:val="22"/>
                <w:lang w:bidi="ar"/>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6E6BE99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14:paraId="71C0AC7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14:paraId="1C6789DE">
            <w:pPr>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6B0615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CCE2ED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FC0198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C45175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2CA37F3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00B2108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055CB9C7">
            <w:pPr>
              <w:widowControl/>
              <w:jc w:val="left"/>
              <w:textAlignment w:val="center"/>
              <w:rPr>
                <w:rFonts w:ascii="Times New Roman" w:hAnsi="Times New Roman" w:eastAsia="仿宋_GB2312" w:cs="Times New Roman"/>
                <w:kern w:val="0"/>
                <w:sz w:val="22"/>
              </w:rPr>
            </w:pPr>
            <w:r>
              <w:rPr>
                <w:rFonts w:ascii="Times New Roman" w:hAnsi="Times New Roman" w:eastAsia="仿宋_GB2312" w:cs="Times New Roman"/>
                <w:color w:val="000000"/>
                <w:kern w:val="0"/>
                <w:sz w:val="22"/>
                <w:lang w:bidi="ar"/>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7AAA106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14:paraId="2C7C36A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14:paraId="262CFBDB">
            <w:pPr>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80FA7F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C55BCB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81A727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BBF3B0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9A7EB0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1628789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204BA960">
            <w:pPr>
              <w:widowControl/>
              <w:jc w:val="left"/>
              <w:textAlignment w:val="center"/>
              <w:rPr>
                <w:rFonts w:ascii="Times New Roman" w:hAnsi="Times New Roman" w:eastAsia="仿宋_GB2312" w:cs="Times New Roman"/>
                <w:kern w:val="0"/>
                <w:sz w:val="22"/>
              </w:rPr>
            </w:pPr>
            <w:r>
              <w:rPr>
                <w:rFonts w:ascii="Times New Roman" w:hAnsi="Times New Roman" w:eastAsia="仿宋_GB2312" w:cs="Times New Roman"/>
                <w:color w:val="000000"/>
                <w:kern w:val="0"/>
                <w:sz w:val="22"/>
                <w:lang w:bidi="ar"/>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36608B4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7BC4A9B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14:paraId="7A007E05">
            <w:pPr>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129627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7AF07B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073A70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C041FD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8350F7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4EA919A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7CBCEA59">
            <w:pPr>
              <w:widowControl/>
              <w:jc w:val="left"/>
              <w:textAlignment w:val="center"/>
              <w:rPr>
                <w:rFonts w:ascii="Times New Roman" w:hAnsi="Times New Roman" w:eastAsia="仿宋_GB2312" w:cs="Times New Roman"/>
                <w:kern w:val="0"/>
                <w:sz w:val="22"/>
              </w:rPr>
            </w:pPr>
            <w:r>
              <w:rPr>
                <w:rFonts w:ascii="Times New Roman" w:hAnsi="Times New Roman" w:eastAsia="仿宋_GB2312" w:cs="Times New Roman"/>
                <w:color w:val="000000"/>
                <w:kern w:val="0"/>
                <w:sz w:val="22"/>
                <w:lang w:bidi="ar"/>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5CB59B8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14:paraId="3A41371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14:paraId="60AF1646">
            <w:pPr>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6F8A6C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6FBA25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F01511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52E3BB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0DEAFC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7BBFBF2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521F8809">
            <w:pPr>
              <w:widowControl/>
              <w:jc w:val="left"/>
              <w:textAlignment w:val="center"/>
              <w:rPr>
                <w:rFonts w:ascii="Times New Roman" w:hAnsi="Times New Roman" w:eastAsia="仿宋_GB2312" w:cs="Times New Roman"/>
                <w:kern w:val="0"/>
                <w:sz w:val="22"/>
              </w:rPr>
            </w:pPr>
            <w:r>
              <w:rPr>
                <w:rFonts w:ascii="Times New Roman" w:hAnsi="Times New Roman" w:eastAsia="仿宋_GB2312" w:cs="Times New Roman"/>
                <w:color w:val="000000"/>
                <w:kern w:val="0"/>
                <w:sz w:val="22"/>
                <w:lang w:bidi="ar"/>
              </w:rPr>
              <w:t>六、科学技术支出</w:t>
            </w:r>
          </w:p>
        </w:tc>
        <w:tc>
          <w:tcPr>
            <w:tcW w:w="0" w:type="auto"/>
            <w:tcBorders>
              <w:top w:val="nil"/>
              <w:left w:val="nil"/>
              <w:bottom w:val="single" w:color="auto" w:sz="4" w:space="0"/>
              <w:right w:val="single" w:color="auto" w:sz="4" w:space="0"/>
            </w:tcBorders>
            <w:shd w:val="clear" w:color="auto" w:fill="auto"/>
            <w:noWrap/>
            <w:vAlign w:val="center"/>
          </w:tcPr>
          <w:p w14:paraId="4EFFC3E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6582DF5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14:paraId="7D1607B1">
            <w:pPr>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3351CE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517C23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D7828D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2CD3D46">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1EA1F17">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0C308FBB">
            <w:pPr>
              <w:widowControl/>
              <w:jc w:val="righ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04B208E5">
            <w:pPr>
              <w:widowControl/>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kern w:val="0"/>
                <w:sz w:val="24"/>
                <w:szCs w:val="24"/>
                <w:lang w:bidi="ar"/>
              </w:rPr>
              <w:t>七、文化旅游体育与传媒支出</w:t>
            </w:r>
          </w:p>
        </w:tc>
        <w:tc>
          <w:tcPr>
            <w:tcW w:w="0" w:type="auto"/>
            <w:tcBorders>
              <w:top w:val="nil"/>
              <w:left w:val="nil"/>
              <w:bottom w:val="single" w:color="auto" w:sz="4" w:space="0"/>
              <w:right w:val="single" w:color="auto" w:sz="4" w:space="0"/>
            </w:tcBorders>
            <w:shd w:val="clear" w:color="auto" w:fill="auto"/>
            <w:noWrap/>
            <w:vAlign w:val="center"/>
          </w:tcPr>
          <w:p w14:paraId="76665428">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10661274">
            <w:pPr>
              <w:widowControl/>
              <w:jc w:val="center"/>
              <w:rPr>
                <w:rFonts w:ascii="Times New Roman" w:hAnsi="Times New Roman" w:eastAsia="仿宋_GB2312" w:cs="Times New Roman"/>
                <w:kern w:val="0"/>
                <w:sz w:val="22"/>
              </w:rPr>
            </w:pPr>
          </w:p>
        </w:tc>
        <w:tc>
          <w:tcPr>
            <w:tcW w:w="1678" w:type="dxa"/>
            <w:tcBorders>
              <w:top w:val="nil"/>
              <w:left w:val="nil"/>
              <w:bottom w:val="single" w:color="auto" w:sz="4" w:space="0"/>
              <w:right w:val="single" w:color="auto" w:sz="4" w:space="0"/>
            </w:tcBorders>
            <w:shd w:val="clear" w:color="auto" w:fill="auto"/>
            <w:noWrap/>
            <w:vAlign w:val="center"/>
          </w:tcPr>
          <w:p w14:paraId="742E068B">
            <w:pPr>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0.89</w:t>
            </w:r>
          </w:p>
        </w:tc>
        <w:tc>
          <w:tcPr>
            <w:tcW w:w="0" w:type="auto"/>
            <w:tcBorders>
              <w:top w:val="nil"/>
              <w:left w:val="nil"/>
              <w:bottom w:val="single" w:color="auto" w:sz="4" w:space="0"/>
              <w:right w:val="single" w:color="auto" w:sz="4" w:space="0"/>
            </w:tcBorders>
            <w:shd w:val="clear" w:color="auto" w:fill="auto"/>
            <w:noWrap/>
            <w:vAlign w:val="center"/>
          </w:tcPr>
          <w:p w14:paraId="6DC23184">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B08DE8B">
            <w:pPr>
              <w:widowControl/>
              <w:jc w:val="right"/>
              <w:rPr>
                <w:rFonts w:ascii="Times New Roman" w:hAnsi="Times New Roman" w:eastAsia="仿宋_GB2312" w:cs="Times New Roman"/>
                <w:kern w:val="0"/>
                <w:sz w:val="22"/>
              </w:rPr>
            </w:pPr>
          </w:p>
        </w:tc>
      </w:tr>
      <w:tr w14:paraId="26665B3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DA5AD01">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011835F">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540592C">
            <w:pPr>
              <w:widowControl/>
              <w:jc w:val="righ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3567D772">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2"/>
              </w:rPr>
              <w:t>八、社会保障和就业支出</w:t>
            </w:r>
          </w:p>
        </w:tc>
        <w:tc>
          <w:tcPr>
            <w:tcW w:w="0" w:type="auto"/>
            <w:tcBorders>
              <w:top w:val="nil"/>
              <w:left w:val="nil"/>
              <w:bottom w:val="single" w:color="auto" w:sz="4" w:space="0"/>
              <w:right w:val="single" w:color="auto" w:sz="4" w:space="0"/>
            </w:tcBorders>
            <w:shd w:val="clear" w:color="auto" w:fill="auto"/>
            <w:noWrap/>
            <w:vAlign w:val="center"/>
          </w:tcPr>
          <w:p w14:paraId="1223FEFF">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39444C6">
            <w:pPr>
              <w:widowControl/>
              <w:jc w:val="center"/>
              <w:rPr>
                <w:rFonts w:ascii="Times New Roman" w:hAnsi="Times New Roman" w:eastAsia="仿宋_GB2312" w:cs="Times New Roman"/>
                <w:kern w:val="0"/>
                <w:sz w:val="22"/>
              </w:rPr>
            </w:pPr>
          </w:p>
        </w:tc>
        <w:tc>
          <w:tcPr>
            <w:tcW w:w="1678" w:type="dxa"/>
            <w:tcBorders>
              <w:top w:val="nil"/>
              <w:left w:val="nil"/>
              <w:bottom w:val="single" w:color="auto" w:sz="4" w:space="0"/>
              <w:right w:val="single" w:color="auto" w:sz="4" w:space="0"/>
            </w:tcBorders>
            <w:shd w:val="clear" w:color="auto" w:fill="auto"/>
            <w:noWrap/>
            <w:vAlign w:val="center"/>
          </w:tcPr>
          <w:p w14:paraId="2CBE36AE">
            <w:pPr>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178.62</w:t>
            </w:r>
          </w:p>
        </w:tc>
        <w:tc>
          <w:tcPr>
            <w:tcW w:w="0" w:type="auto"/>
            <w:tcBorders>
              <w:top w:val="nil"/>
              <w:left w:val="nil"/>
              <w:bottom w:val="single" w:color="auto" w:sz="4" w:space="0"/>
              <w:right w:val="single" w:color="auto" w:sz="4" w:space="0"/>
            </w:tcBorders>
            <w:shd w:val="clear" w:color="auto" w:fill="auto"/>
            <w:noWrap/>
            <w:vAlign w:val="center"/>
          </w:tcPr>
          <w:p w14:paraId="41D275B4">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06A982CF">
            <w:pPr>
              <w:widowControl/>
              <w:jc w:val="right"/>
              <w:rPr>
                <w:rFonts w:ascii="Times New Roman" w:hAnsi="Times New Roman" w:eastAsia="仿宋_GB2312" w:cs="Times New Roman"/>
                <w:kern w:val="0"/>
                <w:sz w:val="22"/>
              </w:rPr>
            </w:pPr>
          </w:p>
        </w:tc>
      </w:tr>
      <w:tr w14:paraId="65084F1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5CDB19F">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C261AD3">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04569873">
            <w:pPr>
              <w:widowControl/>
              <w:jc w:val="righ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6D03D6B8">
            <w:pPr>
              <w:widowControl/>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kern w:val="0"/>
                <w:sz w:val="22"/>
                <w:lang w:bidi="ar"/>
              </w:rPr>
              <w:t>九、卫生健康支出</w:t>
            </w:r>
          </w:p>
        </w:tc>
        <w:tc>
          <w:tcPr>
            <w:tcW w:w="0" w:type="auto"/>
            <w:tcBorders>
              <w:top w:val="nil"/>
              <w:left w:val="nil"/>
              <w:bottom w:val="single" w:color="auto" w:sz="4" w:space="0"/>
              <w:right w:val="single" w:color="auto" w:sz="4" w:space="0"/>
            </w:tcBorders>
            <w:shd w:val="clear" w:color="auto" w:fill="auto"/>
            <w:noWrap/>
            <w:vAlign w:val="center"/>
          </w:tcPr>
          <w:p w14:paraId="73F3A247">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AB09997">
            <w:pPr>
              <w:widowControl/>
              <w:jc w:val="center"/>
              <w:rPr>
                <w:rFonts w:ascii="Times New Roman" w:hAnsi="Times New Roman" w:eastAsia="仿宋_GB2312" w:cs="Times New Roman"/>
                <w:kern w:val="0"/>
                <w:sz w:val="22"/>
              </w:rPr>
            </w:pPr>
          </w:p>
        </w:tc>
        <w:tc>
          <w:tcPr>
            <w:tcW w:w="1678" w:type="dxa"/>
            <w:tcBorders>
              <w:top w:val="nil"/>
              <w:left w:val="nil"/>
              <w:bottom w:val="single" w:color="auto" w:sz="4" w:space="0"/>
              <w:right w:val="single" w:color="auto" w:sz="4" w:space="0"/>
            </w:tcBorders>
            <w:shd w:val="clear" w:color="auto" w:fill="auto"/>
            <w:noWrap/>
            <w:vAlign w:val="center"/>
          </w:tcPr>
          <w:p w14:paraId="4D87A228">
            <w:pPr>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32.78</w:t>
            </w:r>
          </w:p>
        </w:tc>
        <w:tc>
          <w:tcPr>
            <w:tcW w:w="0" w:type="auto"/>
            <w:tcBorders>
              <w:top w:val="nil"/>
              <w:left w:val="nil"/>
              <w:bottom w:val="single" w:color="auto" w:sz="4" w:space="0"/>
              <w:right w:val="single" w:color="auto" w:sz="4" w:space="0"/>
            </w:tcBorders>
            <w:shd w:val="clear" w:color="auto" w:fill="auto"/>
            <w:noWrap/>
            <w:vAlign w:val="center"/>
          </w:tcPr>
          <w:p w14:paraId="4AC360C7">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5553683C">
            <w:pPr>
              <w:widowControl/>
              <w:jc w:val="right"/>
              <w:rPr>
                <w:rFonts w:ascii="Times New Roman" w:hAnsi="Times New Roman" w:eastAsia="仿宋_GB2312" w:cs="Times New Roman"/>
                <w:kern w:val="0"/>
                <w:sz w:val="22"/>
              </w:rPr>
            </w:pPr>
          </w:p>
        </w:tc>
      </w:tr>
      <w:tr w14:paraId="19DD4E9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D26102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F5F90B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429F2D8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1A1C7832">
            <w:pPr>
              <w:widowControl/>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kern w:val="0"/>
                <w:sz w:val="22"/>
                <w:lang w:bidi="ar"/>
              </w:rPr>
              <w:t>十、城乡社区支出</w:t>
            </w:r>
          </w:p>
        </w:tc>
        <w:tc>
          <w:tcPr>
            <w:tcW w:w="0" w:type="auto"/>
            <w:tcBorders>
              <w:top w:val="nil"/>
              <w:left w:val="nil"/>
              <w:bottom w:val="single" w:color="auto" w:sz="4" w:space="0"/>
              <w:right w:val="single" w:color="auto" w:sz="4" w:space="0"/>
            </w:tcBorders>
            <w:shd w:val="clear" w:color="auto" w:fill="auto"/>
            <w:noWrap/>
            <w:vAlign w:val="center"/>
          </w:tcPr>
          <w:p w14:paraId="7088E6C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14:paraId="1C46A45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14:paraId="0C68D079">
            <w:pPr>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0.58</w:t>
            </w:r>
          </w:p>
        </w:tc>
        <w:tc>
          <w:tcPr>
            <w:tcW w:w="0" w:type="auto"/>
            <w:tcBorders>
              <w:top w:val="nil"/>
              <w:left w:val="nil"/>
              <w:bottom w:val="single" w:color="auto" w:sz="4" w:space="0"/>
              <w:right w:val="single" w:color="auto" w:sz="4" w:space="0"/>
            </w:tcBorders>
            <w:shd w:val="clear" w:color="auto" w:fill="auto"/>
            <w:noWrap/>
            <w:vAlign w:val="center"/>
          </w:tcPr>
          <w:p w14:paraId="44EB5F9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68F638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145531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6827D5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5ED75E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5573DA8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47802CC1">
            <w:pPr>
              <w:widowControl/>
              <w:jc w:val="left"/>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0"/>
                <w:sz w:val="22"/>
                <w:lang w:bidi="ar"/>
              </w:rPr>
              <w:t>十一、农林水支出</w:t>
            </w:r>
          </w:p>
        </w:tc>
        <w:tc>
          <w:tcPr>
            <w:tcW w:w="0" w:type="auto"/>
            <w:tcBorders>
              <w:top w:val="nil"/>
              <w:left w:val="nil"/>
              <w:bottom w:val="single" w:color="auto" w:sz="4" w:space="0"/>
              <w:right w:val="single" w:color="auto" w:sz="4" w:space="0"/>
            </w:tcBorders>
            <w:shd w:val="clear" w:color="auto" w:fill="auto"/>
            <w:noWrap/>
            <w:vAlign w:val="center"/>
          </w:tcPr>
          <w:p w14:paraId="12EF1B0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14:paraId="2E8FB33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14:paraId="3760045C">
            <w:pPr>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4542.38</w:t>
            </w:r>
          </w:p>
        </w:tc>
        <w:tc>
          <w:tcPr>
            <w:tcW w:w="0" w:type="auto"/>
            <w:tcBorders>
              <w:top w:val="nil"/>
              <w:left w:val="nil"/>
              <w:bottom w:val="single" w:color="auto" w:sz="4" w:space="0"/>
              <w:right w:val="single" w:color="auto" w:sz="4" w:space="0"/>
            </w:tcBorders>
            <w:shd w:val="clear" w:color="auto" w:fill="auto"/>
            <w:noWrap/>
            <w:vAlign w:val="center"/>
          </w:tcPr>
          <w:p w14:paraId="7A2C001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A139CC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D78338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34712F8">
            <w:pPr>
              <w:widowControl/>
              <w:jc w:val="center"/>
              <w:rPr>
                <w:rFonts w:ascii="Times New Roman" w:hAnsi="Times New Roman" w:eastAsia="仿宋_GB2312" w:cs="Times New Roman"/>
                <w:b/>
                <w:bCs/>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B6BB9D5">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6BBF5EB">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1754A9A">
            <w:pPr>
              <w:widowControl/>
              <w:jc w:val="left"/>
              <w:rPr>
                <w:rFonts w:hint="eastAsia" w:ascii="Times New Roman" w:hAnsi="Times New Roman" w:eastAsia="仿宋_GB2312" w:cs="Times New Roman"/>
                <w:b/>
                <w:bCs/>
                <w:kern w:val="0"/>
                <w:sz w:val="22"/>
                <w:lang w:eastAsia="zh-CN"/>
              </w:rPr>
            </w:pPr>
            <w:r>
              <w:rPr>
                <w:rFonts w:hint="eastAsia" w:ascii="Times New Roman" w:hAnsi="Times New Roman" w:eastAsia="仿宋_GB2312" w:cs="Times New Roman"/>
                <w:color w:val="000000"/>
                <w:kern w:val="0"/>
                <w:sz w:val="22"/>
                <w:lang w:eastAsia="zh-CN" w:bidi="ar"/>
              </w:rPr>
              <w:t>十二、其他支出</w:t>
            </w:r>
          </w:p>
        </w:tc>
        <w:tc>
          <w:tcPr>
            <w:tcW w:w="0" w:type="auto"/>
            <w:tcBorders>
              <w:top w:val="nil"/>
              <w:left w:val="nil"/>
              <w:bottom w:val="single" w:color="auto" w:sz="4" w:space="0"/>
              <w:right w:val="single" w:color="auto" w:sz="4" w:space="0"/>
            </w:tcBorders>
            <w:shd w:val="clear" w:color="auto" w:fill="auto"/>
            <w:noWrap/>
            <w:vAlign w:val="center"/>
          </w:tcPr>
          <w:p w14:paraId="4A9B417F">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53696A0">
            <w:pPr>
              <w:widowControl/>
              <w:jc w:val="center"/>
              <w:rPr>
                <w:rFonts w:ascii="Times New Roman" w:hAnsi="Times New Roman" w:eastAsia="仿宋_GB2312" w:cs="Times New Roman"/>
                <w:kern w:val="0"/>
                <w:sz w:val="22"/>
              </w:rPr>
            </w:pPr>
          </w:p>
        </w:tc>
        <w:tc>
          <w:tcPr>
            <w:tcW w:w="1678" w:type="dxa"/>
            <w:tcBorders>
              <w:top w:val="nil"/>
              <w:left w:val="nil"/>
              <w:bottom w:val="single" w:color="auto" w:sz="4" w:space="0"/>
              <w:right w:val="single" w:color="auto" w:sz="4" w:space="0"/>
            </w:tcBorders>
            <w:shd w:val="clear" w:color="auto" w:fill="auto"/>
            <w:noWrap/>
            <w:vAlign w:val="center"/>
          </w:tcPr>
          <w:p w14:paraId="4207D759">
            <w:pPr>
              <w:jc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55.64</w:t>
            </w:r>
          </w:p>
        </w:tc>
        <w:tc>
          <w:tcPr>
            <w:tcW w:w="0" w:type="auto"/>
            <w:tcBorders>
              <w:top w:val="nil"/>
              <w:left w:val="nil"/>
              <w:bottom w:val="single" w:color="auto" w:sz="4" w:space="0"/>
              <w:right w:val="single" w:color="auto" w:sz="4" w:space="0"/>
            </w:tcBorders>
            <w:shd w:val="clear" w:color="auto" w:fill="auto"/>
            <w:noWrap/>
            <w:vAlign w:val="center"/>
          </w:tcPr>
          <w:p w14:paraId="2A3664D3">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D9675FD">
            <w:pPr>
              <w:widowControl/>
              <w:jc w:val="left"/>
              <w:rPr>
                <w:rFonts w:ascii="Times New Roman" w:hAnsi="Times New Roman" w:eastAsia="仿宋_GB2312" w:cs="Times New Roman"/>
                <w:b/>
                <w:bCs/>
                <w:kern w:val="0"/>
                <w:sz w:val="22"/>
              </w:rPr>
            </w:pPr>
          </w:p>
        </w:tc>
      </w:tr>
      <w:tr w14:paraId="101D415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24C2CED">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07349A8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3B2E554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B50B865">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09E6CEE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0" w:type="auto"/>
            <w:tcBorders>
              <w:top w:val="nil"/>
              <w:left w:val="nil"/>
              <w:bottom w:val="single" w:color="auto" w:sz="4" w:space="0"/>
              <w:right w:val="single" w:color="auto" w:sz="4" w:space="0"/>
            </w:tcBorders>
            <w:shd w:val="clear" w:color="auto" w:fill="auto"/>
            <w:noWrap/>
            <w:vAlign w:val="center"/>
          </w:tcPr>
          <w:p w14:paraId="7B58100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14:paraId="210C751C">
            <w:pP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4820.39</w:t>
            </w:r>
          </w:p>
        </w:tc>
        <w:tc>
          <w:tcPr>
            <w:tcW w:w="0" w:type="auto"/>
            <w:tcBorders>
              <w:top w:val="nil"/>
              <w:left w:val="nil"/>
              <w:bottom w:val="single" w:color="auto" w:sz="4" w:space="0"/>
              <w:right w:val="single" w:color="auto" w:sz="4" w:space="0"/>
            </w:tcBorders>
            <w:shd w:val="clear" w:color="auto" w:fill="auto"/>
            <w:noWrap/>
            <w:vAlign w:val="center"/>
          </w:tcPr>
          <w:p w14:paraId="7AA4543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64501D5">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5EAA5CC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4CD142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71D8A73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105162A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B15FFB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4FA02EF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0" w:type="auto"/>
            <w:tcBorders>
              <w:top w:val="nil"/>
              <w:left w:val="nil"/>
              <w:bottom w:val="single" w:color="auto" w:sz="4" w:space="0"/>
              <w:right w:val="single" w:color="auto" w:sz="4" w:space="0"/>
            </w:tcBorders>
            <w:shd w:val="clear" w:color="auto" w:fill="auto"/>
            <w:noWrap/>
            <w:vAlign w:val="center"/>
          </w:tcPr>
          <w:p w14:paraId="5D8B78E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8F9FA6C">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01A868F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68994A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ECDDF7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990174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0AA8804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1601C26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9BD516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081A65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0" w:type="auto"/>
            <w:tcBorders>
              <w:top w:val="nil"/>
              <w:left w:val="nil"/>
              <w:bottom w:val="single" w:color="auto" w:sz="4" w:space="0"/>
              <w:right w:val="single" w:color="auto" w:sz="4" w:space="0"/>
            </w:tcBorders>
            <w:shd w:val="clear" w:color="auto" w:fill="auto"/>
            <w:noWrap/>
            <w:vAlign w:val="center"/>
          </w:tcPr>
          <w:p w14:paraId="6F244A5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4F09440">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ED88EA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C0AB37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B95907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85AC5E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5048574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63D358E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2E911F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F3FAEE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0" w:type="auto"/>
            <w:tcBorders>
              <w:top w:val="nil"/>
              <w:left w:val="nil"/>
              <w:bottom w:val="single" w:color="auto" w:sz="4" w:space="0"/>
              <w:right w:val="single" w:color="auto" w:sz="4" w:space="0"/>
            </w:tcBorders>
            <w:shd w:val="clear" w:color="auto" w:fill="auto"/>
            <w:noWrap/>
            <w:vAlign w:val="center"/>
          </w:tcPr>
          <w:p w14:paraId="10F4FA2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034560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EDEF2E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F91306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7F4105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4040B8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7121CBB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14:paraId="50C8B2B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ED91BC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529DDD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2DE0F17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3619AF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F59D15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5C41CE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8F49DF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5CD1035A">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4A87AB2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0" w:type="auto"/>
            <w:tcBorders>
              <w:top w:val="nil"/>
              <w:left w:val="nil"/>
              <w:bottom w:val="single" w:color="auto" w:sz="4" w:space="0"/>
              <w:right w:val="single" w:color="auto" w:sz="4" w:space="0"/>
            </w:tcBorders>
            <w:shd w:val="clear" w:color="auto" w:fill="auto"/>
            <w:noWrap/>
            <w:vAlign w:val="center"/>
          </w:tcPr>
          <w:p w14:paraId="3603DF0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71FC0A15">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665D7CF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000000" w:fill="FFFFFF"/>
            <w:noWrap/>
            <w:vAlign w:val="center"/>
          </w:tcPr>
          <w:p w14:paraId="43F8B52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6B35851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2E83C9A">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0FC25A4">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46DA7497">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3F2F71DE">
      <w:pPr>
        <w:widowControl/>
        <w:jc w:val="center"/>
        <w:rPr>
          <w:rFonts w:ascii="Times New Roman" w:hAnsi="Times New Roman" w:eastAsia="方正小标宋_GBK" w:cs="Times New Roman"/>
          <w:kern w:val="0"/>
          <w:sz w:val="36"/>
          <w:szCs w:val="36"/>
        </w:rPr>
      </w:pPr>
    </w:p>
    <w:p w14:paraId="74B85F2E">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2EF40E28">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公开05表</w:t>
      </w:r>
    </w:p>
    <w:p w14:paraId="238490C3">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13"/>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22135969">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C830EA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2CF8F75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63A95873">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9B12A4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7488363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2FE9EA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27779AC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951910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1C1305E0">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8F531EE">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3C4472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3F355F4">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A4F960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7F52DF8">
            <w:pPr>
              <w:widowControl/>
              <w:jc w:val="left"/>
              <w:rPr>
                <w:rFonts w:ascii="Times New Roman" w:hAnsi="Times New Roman" w:eastAsia="仿宋_GB2312" w:cs="Times New Roman"/>
                <w:kern w:val="0"/>
                <w:szCs w:val="21"/>
              </w:rPr>
            </w:pPr>
          </w:p>
        </w:tc>
      </w:tr>
      <w:tr w14:paraId="77701279">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73D6C2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F5D17C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E25206E">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D21223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C75F624">
            <w:pPr>
              <w:widowControl/>
              <w:jc w:val="left"/>
              <w:rPr>
                <w:rFonts w:ascii="Times New Roman" w:hAnsi="Times New Roman" w:eastAsia="仿宋_GB2312" w:cs="Times New Roman"/>
                <w:kern w:val="0"/>
                <w:szCs w:val="21"/>
              </w:rPr>
            </w:pPr>
          </w:p>
        </w:tc>
      </w:tr>
      <w:tr w14:paraId="58860D82">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452D6D3">
            <w:pPr>
              <w:widowControl/>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栏次</w:t>
            </w:r>
          </w:p>
        </w:tc>
        <w:tc>
          <w:tcPr>
            <w:tcW w:w="3000" w:type="dxa"/>
            <w:tcBorders>
              <w:top w:val="nil"/>
              <w:left w:val="nil"/>
              <w:bottom w:val="single" w:color="auto" w:sz="4" w:space="0"/>
              <w:right w:val="single" w:color="auto" w:sz="4" w:space="0"/>
            </w:tcBorders>
            <w:shd w:val="clear" w:color="auto" w:fill="auto"/>
            <w:vAlign w:val="center"/>
          </w:tcPr>
          <w:p w14:paraId="03609D9C">
            <w:pPr>
              <w:widowControl/>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3492" w:type="dxa"/>
            <w:tcBorders>
              <w:top w:val="nil"/>
              <w:left w:val="nil"/>
              <w:bottom w:val="single" w:color="auto" w:sz="4" w:space="0"/>
              <w:right w:val="single" w:color="auto" w:sz="4" w:space="0"/>
            </w:tcBorders>
            <w:shd w:val="clear" w:color="auto" w:fill="auto"/>
            <w:vAlign w:val="center"/>
          </w:tcPr>
          <w:p w14:paraId="707FBD9E">
            <w:pPr>
              <w:widowControl/>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p>
        </w:tc>
        <w:tc>
          <w:tcPr>
            <w:tcW w:w="3000" w:type="dxa"/>
            <w:tcBorders>
              <w:top w:val="nil"/>
              <w:left w:val="nil"/>
              <w:bottom w:val="single" w:color="auto" w:sz="4" w:space="0"/>
              <w:right w:val="single" w:color="auto" w:sz="8" w:space="0"/>
            </w:tcBorders>
            <w:shd w:val="clear" w:color="auto" w:fill="auto"/>
            <w:vAlign w:val="center"/>
          </w:tcPr>
          <w:p w14:paraId="0F389D95">
            <w:pPr>
              <w:widowControl/>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w:t>
            </w:r>
          </w:p>
        </w:tc>
      </w:tr>
      <w:tr w14:paraId="457093DC">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A698EF2">
            <w:pPr>
              <w:widowControl/>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合计</w:t>
            </w:r>
          </w:p>
        </w:tc>
        <w:tc>
          <w:tcPr>
            <w:tcW w:w="3000" w:type="dxa"/>
            <w:tcBorders>
              <w:top w:val="nil"/>
              <w:left w:val="nil"/>
              <w:bottom w:val="single" w:color="auto" w:sz="4" w:space="0"/>
              <w:right w:val="single" w:color="auto" w:sz="4" w:space="0"/>
            </w:tcBorders>
            <w:shd w:val="clear" w:color="auto" w:fill="auto"/>
            <w:vAlign w:val="center"/>
          </w:tcPr>
          <w:p w14:paraId="5CE0837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4820.39 </w:t>
            </w:r>
          </w:p>
        </w:tc>
        <w:tc>
          <w:tcPr>
            <w:tcW w:w="3492" w:type="dxa"/>
            <w:tcBorders>
              <w:top w:val="nil"/>
              <w:left w:val="nil"/>
              <w:bottom w:val="single" w:color="auto" w:sz="4" w:space="0"/>
              <w:right w:val="single" w:color="auto" w:sz="4" w:space="0"/>
            </w:tcBorders>
            <w:shd w:val="clear" w:color="auto" w:fill="auto"/>
            <w:vAlign w:val="center"/>
          </w:tcPr>
          <w:p w14:paraId="5537B23E">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2695.75 </w:t>
            </w:r>
          </w:p>
        </w:tc>
        <w:tc>
          <w:tcPr>
            <w:tcW w:w="3000" w:type="dxa"/>
            <w:tcBorders>
              <w:top w:val="nil"/>
              <w:left w:val="nil"/>
              <w:bottom w:val="single" w:color="auto" w:sz="4" w:space="0"/>
              <w:right w:val="single" w:color="auto" w:sz="8" w:space="0"/>
            </w:tcBorders>
            <w:shd w:val="clear" w:color="auto" w:fill="auto"/>
            <w:vAlign w:val="center"/>
          </w:tcPr>
          <w:p w14:paraId="3ABCFBFF">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2124.64 </w:t>
            </w:r>
          </w:p>
        </w:tc>
      </w:tr>
      <w:tr w14:paraId="2FE4590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8A17A52">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2019999</w:t>
            </w:r>
          </w:p>
        </w:tc>
        <w:tc>
          <w:tcPr>
            <w:tcW w:w="3527" w:type="dxa"/>
            <w:tcBorders>
              <w:top w:val="nil"/>
              <w:left w:val="nil"/>
              <w:bottom w:val="single" w:color="auto" w:sz="4" w:space="0"/>
              <w:right w:val="single" w:color="auto" w:sz="4" w:space="0"/>
            </w:tcBorders>
            <w:shd w:val="clear" w:color="auto" w:fill="auto"/>
            <w:vAlign w:val="center"/>
          </w:tcPr>
          <w:p w14:paraId="560E308A">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0CA97247">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9.50 </w:t>
            </w:r>
          </w:p>
        </w:tc>
        <w:tc>
          <w:tcPr>
            <w:tcW w:w="3492" w:type="dxa"/>
            <w:tcBorders>
              <w:top w:val="nil"/>
              <w:left w:val="nil"/>
              <w:bottom w:val="single" w:color="auto" w:sz="4" w:space="0"/>
              <w:right w:val="single" w:color="auto" w:sz="4" w:space="0"/>
            </w:tcBorders>
            <w:shd w:val="clear" w:color="auto" w:fill="auto"/>
            <w:vAlign w:val="center"/>
          </w:tcPr>
          <w:p w14:paraId="268CBAFF">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9.50 </w:t>
            </w:r>
          </w:p>
        </w:tc>
        <w:tc>
          <w:tcPr>
            <w:tcW w:w="3000" w:type="dxa"/>
            <w:tcBorders>
              <w:top w:val="nil"/>
              <w:left w:val="nil"/>
              <w:bottom w:val="single" w:color="auto" w:sz="4" w:space="0"/>
              <w:right w:val="single" w:color="auto" w:sz="8" w:space="0"/>
            </w:tcBorders>
            <w:shd w:val="clear" w:color="auto" w:fill="auto"/>
            <w:vAlign w:val="center"/>
          </w:tcPr>
          <w:p w14:paraId="3DA2E90E">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0.00 </w:t>
            </w:r>
          </w:p>
        </w:tc>
      </w:tr>
      <w:tr w14:paraId="28E957A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49C5B61">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2070108</w:t>
            </w:r>
          </w:p>
        </w:tc>
        <w:tc>
          <w:tcPr>
            <w:tcW w:w="3527" w:type="dxa"/>
            <w:tcBorders>
              <w:top w:val="nil"/>
              <w:left w:val="nil"/>
              <w:bottom w:val="single" w:color="auto" w:sz="4" w:space="0"/>
              <w:right w:val="single" w:color="auto" w:sz="4" w:space="0"/>
            </w:tcBorders>
            <w:shd w:val="clear" w:color="auto" w:fill="auto"/>
            <w:vAlign w:val="center"/>
          </w:tcPr>
          <w:p w14:paraId="0B93C9F0">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文化活动</w:t>
            </w:r>
          </w:p>
        </w:tc>
        <w:tc>
          <w:tcPr>
            <w:tcW w:w="3000" w:type="dxa"/>
            <w:tcBorders>
              <w:top w:val="nil"/>
              <w:left w:val="nil"/>
              <w:bottom w:val="single" w:color="auto" w:sz="4" w:space="0"/>
              <w:right w:val="single" w:color="auto" w:sz="4" w:space="0"/>
            </w:tcBorders>
            <w:shd w:val="clear" w:color="auto" w:fill="auto"/>
            <w:vAlign w:val="center"/>
          </w:tcPr>
          <w:p w14:paraId="4434BF20">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0.89 </w:t>
            </w:r>
          </w:p>
        </w:tc>
        <w:tc>
          <w:tcPr>
            <w:tcW w:w="3492" w:type="dxa"/>
            <w:tcBorders>
              <w:top w:val="nil"/>
              <w:left w:val="nil"/>
              <w:bottom w:val="single" w:color="auto" w:sz="4" w:space="0"/>
              <w:right w:val="single" w:color="auto" w:sz="4" w:space="0"/>
            </w:tcBorders>
            <w:shd w:val="clear" w:color="auto" w:fill="auto"/>
            <w:vAlign w:val="center"/>
          </w:tcPr>
          <w:p w14:paraId="3B0D7E6A">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0.89 </w:t>
            </w:r>
          </w:p>
        </w:tc>
        <w:tc>
          <w:tcPr>
            <w:tcW w:w="3000" w:type="dxa"/>
            <w:tcBorders>
              <w:top w:val="nil"/>
              <w:left w:val="nil"/>
              <w:bottom w:val="single" w:color="auto" w:sz="4" w:space="0"/>
              <w:right w:val="single" w:color="auto" w:sz="8" w:space="0"/>
            </w:tcBorders>
            <w:shd w:val="clear" w:color="auto" w:fill="auto"/>
            <w:vAlign w:val="center"/>
          </w:tcPr>
          <w:p w14:paraId="112EED02">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0.00 </w:t>
            </w:r>
          </w:p>
        </w:tc>
      </w:tr>
      <w:tr w14:paraId="54BE071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E870FF6">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0CC148AF">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6CB0E1CF">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165.06 </w:t>
            </w:r>
          </w:p>
        </w:tc>
        <w:tc>
          <w:tcPr>
            <w:tcW w:w="3492" w:type="dxa"/>
            <w:tcBorders>
              <w:top w:val="nil"/>
              <w:left w:val="nil"/>
              <w:bottom w:val="single" w:color="auto" w:sz="4" w:space="0"/>
              <w:right w:val="single" w:color="auto" w:sz="4" w:space="0"/>
            </w:tcBorders>
            <w:shd w:val="clear" w:color="auto" w:fill="auto"/>
            <w:vAlign w:val="center"/>
          </w:tcPr>
          <w:p w14:paraId="62E70D3E">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165.06 </w:t>
            </w:r>
          </w:p>
        </w:tc>
        <w:tc>
          <w:tcPr>
            <w:tcW w:w="3000" w:type="dxa"/>
            <w:tcBorders>
              <w:top w:val="nil"/>
              <w:left w:val="nil"/>
              <w:bottom w:val="single" w:color="auto" w:sz="4" w:space="0"/>
              <w:right w:val="single" w:color="auto" w:sz="8" w:space="0"/>
            </w:tcBorders>
            <w:shd w:val="clear" w:color="auto" w:fill="auto"/>
            <w:vAlign w:val="center"/>
          </w:tcPr>
          <w:p w14:paraId="0C4692A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0.00 </w:t>
            </w:r>
          </w:p>
        </w:tc>
      </w:tr>
      <w:tr w14:paraId="76EE1A8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583243">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2080801</w:t>
            </w:r>
          </w:p>
        </w:tc>
        <w:tc>
          <w:tcPr>
            <w:tcW w:w="3527" w:type="dxa"/>
            <w:tcBorders>
              <w:top w:val="nil"/>
              <w:left w:val="nil"/>
              <w:bottom w:val="single" w:color="auto" w:sz="4" w:space="0"/>
              <w:right w:val="single" w:color="auto" w:sz="4" w:space="0"/>
            </w:tcBorders>
            <w:shd w:val="clear" w:color="auto" w:fill="auto"/>
            <w:vAlign w:val="center"/>
          </w:tcPr>
          <w:p w14:paraId="5A6FCA8C">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死亡抚恤</w:t>
            </w:r>
          </w:p>
        </w:tc>
        <w:tc>
          <w:tcPr>
            <w:tcW w:w="3000" w:type="dxa"/>
            <w:tcBorders>
              <w:top w:val="nil"/>
              <w:left w:val="nil"/>
              <w:bottom w:val="single" w:color="auto" w:sz="4" w:space="0"/>
              <w:right w:val="single" w:color="auto" w:sz="4" w:space="0"/>
            </w:tcBorders>
            <w:shd w:val="clear" w:color="auto" w:fill="auto"/>
            <w:vAlign w:val="center"/>
          </w:tcPr>
          <w:p w14:paraId="36D40504">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13.56 </w:t>
            </w:r>
          </w:p>
        </w:tc>
        <w:tc>
          <w:tcPr>
            <w:tcW w:w="3492" w:type="dxa"/>
            <w:tcBorders>
              <w:top w:val="nil"/>
              <w:left w:val="nil"/>
              <w:bottom w:val="single" w:color="auto" w:sz="4" w:space="0"/>
              <w:right w:val="single" w:color="auto" w:sz="4" w:space="0"/>
            </w:tcBorders>
            <w:shd w:val="clear" w:color="auto" w:fill="auto"/>
            <w:vAlign w:val="center"/>
          </w:tcPr>
          <w:p w14:paraId="5A9EB438">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13.56 </w:t>
            </w:r>
          </w:p>
        </w:tc>
        <w:tc>
          <w:tcPr>
            <w:tcW w:w="3000" w:type="dxa"/>
            <w:tcBorders>
              <w:top w:val="nil"/>
              <w:left w:val="nil"/>
              <w:bottom w:val="single" w:color="auto" w:sz="4" w:space="0"/>
              <w:right w:val="single" w:color="auto" w:sz="8" w:space="0"/>
            </w:tcBorders>
            <w:shd w:val="clear" w:color="auto" w:fill="auto"/>
            <w:vAlign w:val="center"/>
          </w:tcPr>
          <w:p w14:paraId="3C0D1E1D">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0.00 </w:t>
            </w:r>
          </w:p>
        </w:tc>
      </w:tr>
      <w:tr w14:paraId="008C504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B2C4A40">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45BA1F63">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行政单位医疗</w:t>
            </w:r>
          </w:p>
        </w:tc>
        <w:tc>
          <w:tcPr>
            <w:tcW w:w="3000" w:type="dxa"/>
            <w:tcBorders>
              <w:top w:val="nil"/>
              <w:left w:val="nil"/>
              <w:bottom w:val="single" w:color="auto" w:sz="4" w:space="0"/>
              <w:right w:val="single" w:color="auto" w:sz="4" w:space="0"/>
            </w:tcBorders>
            <w:shd w:val="clear" w:color="auto" w:fill="auto"/>
            <w:vAlign w:val="center"/>
          </w:tcPr>
          <w:p w14:paraId="27EB144B">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32.78 </w:t>
            </w:r>
          </w:p>
        </w:tc>
        <w:tc>
          <w:tcPr>
            <w:tcW w:w="3492" w:type="dxa"/>
            <w:tcBorders>
              <w:top w:val="nil"/>
              <w:left w:val="nil"/>
              <w:bottom w:val="single" w:color="auto" w:sz="4" w:space="0"/>
              <w:right w:val="single" w:color="auto" w:sz="4" w:space="0"/>
            </w:tcBorders>
            <w:shd w:val="clear" w:color="auto" w:fill="auto"/>
            <w:vAlign w:val="center"/>
          </w:tcPr>
          <w:p w14:paraId="0B26A0CF">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32.78 </w:t>
            </w:r>
          </w:p>
        </w:tc>
        <w:tc>
          <w:tcPr>
            <w:tcW w:w="3000" w:type="dxa"/>
            <w:tcBorders>
              <w:top w:val="nil"/>
              <w:left w:val="nil"/>
              <w:bottom w:val="single" w:color="auto" w:sz="4" w:space="0"/>
              <w:right w:val="single" w:color="auto" w:sz="8" w:space="0"/>
            </w:tcBorders>
            <w:shd w:val="clear" w:color="auto" w:fill="auto"/>
            <w:vAlign w:val="center"/>
          </w:tcPr>
          <w:p w14:paraId="290A89B5">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0.00 </w:t>
            </w:r>
          </w:p>
        </w:tc>
      </w:tr>
      <w:tr w14:paraId="5EEEC4C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AD51B7">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2120501</w:t>
            </w:r>
          </w:p>
        </w:tc>
        <w:tc>
          <w:tcPr>
            <w:tcW w:w="3527" w:type="dxa"/>
            <w:tcBorders>
              <w:top w:val="nil"/>
              <w:left w:val="nil"/>
              <w:bottom w:val="single" w:color="auto" w:sz="4" w:space="0"/>
              <w:right w:val="single" w:color="auto" w:sz="4" w:space="0"/>
            </w:tcBorders>
            <w:shd w:val="clear" w:color="auto" w:fill="auto"/>
            <w:vAlign w:val="center"/>
          </w:tcPr>
          <w:p w14:paraId="0ECA5A58">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城乡社区环境卫生</w:t>
            </w:r>
          </w:p>
        </w:tc>
        <w:tc>
          <w:tcPr>
            <w:tcW w:w="3000" w:type="dxa"/>
            <w:tcBorders>
              <w:top w:val="nil"/>
              <w:left w:val="nil"/>
              <w:bottom w:val="single" w:color="auto" w:sz="4" w:space="0"/>
              <w:right w:val="single" w:color="auto" w:sz="4" w:space="0"/>
            </w:tcBorders>
            <w:shd w:val="clear" w:color="auto" w:fill="auto"/>
            <w:vAlign w:val="center"/>
          </w:tcPr>
          <w:p w14:paraId="6437FF3D">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0.57 </w:t>
            </w:r>
          </w:p>
        </w:tc>
        <w:tc>
          <w:tcPr>
            <w:tcW w:w="3492" w:type="dxa"/>
            <w:tcBorders>
              <w:top w:val="nil"/>
              <w:left w:val="nil"/>
              <w:bottom w:val="single" w:color="auto" w:sz="4" w:space="0"/>
              <w:right w:val="single" w:color="auto" w:sz="4" w:space="0"/>
            </w:tcBorders>
            <w:shd w:val="clear" w:color="auto" w:fill="auto"/>
            <w:vAlign w:val="center"/>
          </w:tcPr>
          <w:p w14:paraId="1B96EEC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0.57 </w:t>
            </w:r>
          </w:p>
        </w:tc>
        <w:tc>
          <w:tcPr>
            <w:tcW w:w="3000" w:type="dxa"/>
            <w:tcBorders>
              <w:top w:val="nil"/>
              <w:left w:val="nil"/>
              <w:bottom w:val="single" w:color="auto" w:sz="4" w:space="0"/>
              <w:right w:val="single" w:color="auto" w:sz="8" w:space="0"/>
            </w:tcBorders>
            <w:shd w:val="clear" w:color="auto" w:fill="auto"/>
            <w:vAlign w:val="center"/>
          </w:tcPr>
          <w:p w14:paraId="7783EBAA">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0.00 </w:t>
            </w:r>
          </w:p>
        </w:tc>
      </w:tr>
      <w:tr w14:paraId="20F129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655CB5B">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2130101</w:t>
            </w:r>
          </w:p>
        </w:tc>
        <w:tc>
          <w:tcPr>
            <w:tcW w:w="3527" w:type="dxa"/>
            <w:tcBorders>
              <w:top w:val="nil"/>
              <w:left w:val="nil"/>
              <w:bottom w:val="single" w:color="auto" w:sz="4" w:space="0"/>
              <w:right w:val="single" w:color="auto" w:sz="4" w:space="0"/>
            </w:tcBorders>
            <w:shd w:val="clear" w:color="auto" w:fill="auto"/>
            <w:vAlign w:val="center"/>
          </w:tcPr>
          <w:p w14:paraId="42D73078">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29A0C40E">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161.21 </w:t>
            </w:r>
          </w:p>
        </w:tc>
        <w:tc>
          <w:tcPr>
            <w:tcW w:w="3492" w:type="dxa"/>
            <w:tcBorders>
              <w:top w:val="nil"/>
              <w:left w:val="nil"/>
              <w:bottom w:val="single" w:color="auto" w:sz="4" w:space="0"/>
              <w:right w:val="single" w:color="auto" w:sz="4" w:space="0"/>
            </w:tcBorders>
            <w:shd w:val="clear" w:color="auto" w:fill="auto"/>
            <w:vAlign w:val="center"/>
          </w:tcPr>
          <w:p w14:paraId="5C90D6AA">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161.21 </w:t>
            </w:r>
          </w:p>
        </w:tc>
        <w:tc>
          <w:tcPr>
            <w:tcW w:w="3000" w:type="dxa"/>
            <w:tcBorders>
              <w:top w:val="nil"/>
              <w:left w:val="nil"/>
              <w:bottom w:val="single" w:color="auto" w:sz="4" w:space="0"/>
              <w:right w:val="single" w:color="auto" w:sz="8" w:space="0"/>
            </w:tcBorders>
            <w:shd w:val="clear" w:color="auto" w:fill="auto"/>
            <w:vAlign w:val="center"/>
          </w:tcPr>
          <w:p w14:paraId="2FD3074B">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0.00 </w:t>
            </w:r>
          </w:p>
        </w:tc>
      </w:tr>
      <w:tr w14:paraId="4067E1C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76F72D">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2130119</w:t>
            </w:r>
          </w:p>
        </w:tc>
        <w:tc>
          <w:tcPr>
            <w:tcW w:w="3527" w:type="dxa"/>
            <w:tcBorders>
              <w:top w:val="nil"/>
              <w:left w:val="nil"/>
              <w:bottom w:val="single" w:color="auto" w:sz="4" w:space="0"/>
              <w:right w:val="single" w:color="auto" w:sz="4" w:space="0"/>
            </w:tcBorders>
            <w:shd w:val="clear" w:color="auto" w:fill="auto"/>
            <w:vAlign w:val="center"/>
          </w:tcPr>
          <w:p w14:paraId="1A33B091">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防灾救灾</w:t>
            </w:r>
          </w:p>
        </w:tc>
        <w:tc>
          <w:tcPr>
            <w:tcW w:w="3000" w:type="dxa"/>
            <w:tcBorders>
              <w:top w:val="nil"/>
              <w:left w:val="nil"/>
              <w:bottom w:val="single" w:color="auto" w:sz="4" w:space="0"/>
              <w:right w:val="single" w:color="auto" w:sz="4" w:space="0"/>
            </w:tcBorders>
            <w:shd w:val="clear" w:color="auto" w:fill="auto"/>
            <w:vAlign w:val="center"/>
          </w:tcPr>
          <w:p w14:paraId="1BAC842E">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2.00 </w:t>
            </w:r>
          </w:p>
        </w:tc>
        <w:tc>
          <w:tcPr>
            <w:tcW w:w="3492" w:type="dxa"/>
            <w:tcBorders>
              <w:top w:val="nil"/>
              <w:left w:val="nil"/>
              <w:bottom w:val="single" w:color="auto" w:sz="4" w:space="0"/>
              <w:right w:val="single" w:color="auto" w:sz="4" w:space="0"/>
            </w:tcBorders>
            <w:shd w:val="clear" w:color="auto" w:fill="auto"/>
            <w:vAlign w:val="center"/>
          </w:tcPr>
          <w:p w14:paraId="3DF6DB63">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0.00 </w:t>
            </w:r>
          </w:p>
        </w:tc>
        <w:tc>
          <w:tcPr>
            <w:tcW w:w="3000" w:type="dxa"/>
            <w:tcBorders>
              <w:top w:val="nil"/>
              <w:left w:val="nil"/>
              <w:bottom w:val="single" w:color="auto" w:sz="4" w:space="0"/>
              <w:right w:val="single" w:color="auto" w:sz="8" w:space="0"/>
            </w:tcBorders>
            <w:shd w:val="clear" w:color="auto" w:fill="auto"/>
            <w:vAlign w:val="center"/>
          </w:tcPr>
          <w:p w14:paraId="6813E5F5">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2.00 </w:t>
            </w:r>
          </w:p>
        </w:tc>
      </w:tr>
      <w:tr w14:paraId="2AE7321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1880C45">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2130201</w:t>
            </w:r>
          </w:p>
        </w:tc>
        <w:tc>
          <w:tcPr>
            <w:tcW w:w="3527" w:type="dxa"/>
            <w:tcBorders>
              <w:top w:val="nil"/>
              <w:left w:val="nil"/>
              <w:bottom w:val="single" w:color="auto" w:sz="4" w:space="0"/>
              <w:right w:val="single" w:color="auto" w:sz="4" w:space="0"/>
            </w:tcBorders>
            <w:shd w:val="clear" w:color="auto" w:fill="auto"/>
            <w:vAlign w:val="center"/>
          </w:tcPr>
          <w:p w14:paraId="589F348F">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10191FE2">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2224.01 </w:t>
            </w:r>
          </w:p>
        </w:tc>
        <w:tc>
          <w:tcPr>
            <w:tcW w:w="3492" w:type="dxa"/>
            <w:tcBorders>
              <w:top w:val="nil"/>
              <w:left w:val="nil"/>
              <w:bottom w:val="single" w:color="auto" w:sz="4" w:space="0"/>
              <w:right w:val="single" w:color="auto" w:sz="4" w:space="0"/>
            </w:tcBorders>
            <w:shd w:val="clear" w:color="auto" w:fill="auto"/>
            <w:vAlign w:val="center"/>
          </w:tcPr>
          <w:p w14:paraId="2F347A1B">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2224.01 </w:t>
            </w:r>
          </w:p>
        </w:tc>
        <w:tc>
          <w:tcPr>
            <w:tcW w:w="3000" w:type="dxa"/>
            <w:tcBorders>
              <w:top w:val="nil"/>
              <w:left w:val="nil"/>
              <w:bottom w:val="single" w:color="auto" w:sz="4" w:space="0"/>
              <w:right w:val="single" w:color="auto" w:sz="8" w:space="0"/>
            </w:tcBorders>
            <w:shd w:val="clear" w:color="auto" w:fill="auto"/>
            <w:vAlign w:val="center"/>
          </w:tcPr>
          <w:p w14:paraId="16E5A72E">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0.00 </w:t>
            </w:r>
          </w:p>
        </w:tc>
      </w:tr>
      <w:tr w14:paraId="0C248EB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0AE3B7">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2130205</w:t>
            </w:r>
          </w:p>
        </w:tc>
        <w:tc>
          <w:tcPr>
            <w:tcW w:w="3527" w:type="dxa"/>
            <w:tcBorders>
              <w:top w:val="nil"/>
              <w:left w:val="nil"/>
              <w:bottom w:val="single" w:color="auto" w:sz="4" w:space="0"/>
              <w:right w:val="single" w:color="auto" w:sz="4" w:space="0"/>
            </w:tcBorders>
            <w:shd w:val="clear" w:color="auto" w:fill="auto"/>
            <w:vAlign w:val="center"/>
          </w:tcPr>
          <w:p w14:paraId="6DCD0904">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森林资源培育</w:t>
            </w:r>
          </w:p>
        </w:tc>
        <w:tc>
          <w:tcPr>
            <w:tcW w:w="3000" w:type="dxa"/>
            <w:tcBorders>
              <w:top w:val="nil"/>
              <w:left w:val="nil"/>
              <w:bottom w:val="single" w:color="auto" w:sz="4" w:space="0"/>
              <w:right w:val="single" w:color="auto" w:sz="4" w:space="0"/>
            </w:tcBorders>
            <w:shd w:val="clear" w:color="auto" w:fill="auto"/>
            <w:vAlign w:val="center"/>
          </w:tcPr>
          <w:p w14:paraId="1BFC1391">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869.82 </w:t>
            </w:r>
          </w:p>
        </w:tc>
        <w:tc>
          <w:tcPr>
            <w:tcW w:w="3492" w:type="dxa"/>
            <w:tcBorders>
              <w:top w:val="nil"/>
              <w:left w:val="nil"/>
              <w:bottom w:val="single" w:color="auto" w:sz="4" w:space="0"/>
              <w:right w:val="single" w:color="auto" w:sz="4" w:space="0"/>
            </w:tcBorders>
            <w:shd w:val="clear" w:color="auto" w:fill="auto"/>
            <w:vAlign w:val="center"/>
          </w:tcPr>
          <w:p w14:paraId="22AD29DE">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0.00 </w:t>
            </w:r>
          </w:p>
        </w:tc>
        <w:tc>
          <w:tcPr>
            <w:tcW w:w="3000" w:type="dxa"/>
            <w:tcBorders>
              <w:top w:val="nil"/>
              <w:left w:val="nil"/>
              <w:bottom w:val="single" w:color="auto" w:sz="4" w:space="0"/>
              <w:right w:val="single" w:color="auto" w:sz="8" w:space="0"/>
            </w:tcBorders>
            <w:shd w:val="clear" w:color="auto" w:fill="auto"/>
            <w:vAlign w:val="center"/>
          </w:tcPr>
          <w:p w14:paraId="251B3E70">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869.82 </w:t>
            </w:r>
          </w:p>
        </w:tc>
      </w:tr>
      <w:tr w14:paraId="7C97AF7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A572BC">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2130207</w:t>
            </w:r>
          </w:p>
        </w:tc>
        <w:tc>
          <w:tcPr>
            <w:tcW w:w="3527" w:type="dxa"/>
            <w:tcBorders>
              <w:top w:val="nil"/>
              <w:left w:val="nil"/>
              <w:bottom w:val="single" w:color="auto" w:sz="4" w:space="0"/>
              <w:right w:val="single" w:color="auto" w:sz="4" w:space="0"/>
            </w:tcBorders>
            <w:shd w:val="clear" w:color="auto" w:fill="auto"/>
            <w:vAlign w:val="center"/>
          </w:tcPr>
          <w:p w14:paraId="356ADEE3">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森林资源管理</w:t>
            </w:r>
          </w:p>
        </w:tc>
        <w:tc>
          <w:tcPr>
            <w:tcW w:w="3000" w:type="dxa"/>
            <w:tcBorders>
              <w:top w:val="nil"/>
              <w:left w:val="nil"/>
              <w:bottom w:val="single" w:color="auto" w:sz="4" w:space="0"/>
              <w:right w:val="single" w:color="auto" w:sz="4" w:space="0"/>
            </w:tcBorders>
            <w:shd w:val="clear" w:color="auto" w:fill="auto"/>
            <w:vAlign w:val="center"/>
          </w:tcPr>
          <w:p w14:paraId="35FB95E2">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447.87 </w:t>
            </w:r>
          </w:p>
        </w:tc>
        <w:tc>
          <w:tcPr>
            <w:tcW w:w="3492" w:type="dxa"/>
            <w:tcBorders>
              <w:top w:val="nil"/>
              <w:left w:val="nil"/>
              <w:bottom w:val="single" w:color="auto" w:sz="4" w:space="0"/>
              <w:right w:val="single" w:color="auto" w:sz="4" w:space="0"/>
            </w:tcBorders>
            <w:shd w:val="clear" w:color="auto" w:fill="auto"/>
            <w:vAlign w:val="center"/>
          </w:tcPr>
          <w:p w14:paraId="4C79971F">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43.20 </w:t>
            </w:r>
          </w:p>
        </w:tc>
        <w:tc>
          <w:tcPr>
            <w:tcW w:w="3000" w:type="dxa"/>
            <w:tcBorders>
              <w:top w:val="nil"/>
              <w:left w:val="nil"/>
              <w:bottom w:val="single" w:color="auto" w:sz="4" w:space="0"/>
              <w:right w:val="single" w:color="auto" w:sz="8" w:space="0"/>
            </w:tcBorders>
            <w:shd w:val="clear" w:color="auto" w:fill="auto"/>
            <w:vAlign w:val="center"/>
          </w:tcPr>
          <w:p w14:paraId="71F3D1F2">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404.67 </w:t>
            </w:r>
          </w:p>
        </w:tc>
      </w:tr>
      <w:tr w14:paraId="74EFF8C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51A5362">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2130209</w:t>
            </w:r>
          </w:p>
        </w:tc>
        <w:tc>
          <w:tcPr>
            <w:tcW w:w="3527" w:type="dxa"/>
            <w:tcBorders>
              <w:top w:val="nil"/>
              <w:left w:val="nil"/>
              <w:bottom w:val="single" w:color="auto" w:sz="4" w:space="0"/>
              <w:right w:val="single" w:color="auto" w:sz="4" w:space="0"/>
            </w:tcBorders>
            <w:shd w:val="clear" w:color="auto" w:fill="auto"/>
            <w:vAlign w:val="center"/>
          </w:tcPr>
          <w:p w14:paraId="23918951">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森林生态效益补偿</w:t>
            </w:r>
          </w:p>
        </w:tc>
        <w:tc>
          <w:tcPr>
            <w:tcW w:w="3000" w:type="dxa"/>
            <w:tcBorders>
              <w:top w:val="nil"/>
              <w:left w:val="nil"/>
              <w:bottom w:val="single" w:color="auto" w:sz="4" w:space="0"/>
              <w:right w:val="single" w:color="auto" w:sz="4" w:space="0"/>
            </w:tcBorders>
            <w:shd w:val="clear" w:color="auto" w:fill="auto"/>
            <w:vAlign w:val="center"/>
          </w:tcPr>
          <w:p w14:paraId="012CE78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1.62 </w:t>
            </w:r>
          </w:p>
        </w:tc>
        <w:tc>
          <w:tcPr>
            <w:tcW w:w="3492" w:type="dxa"/>
            <w:tcBorders>
              <w:top w:val="nil"/>
              <w:left w:val="nil"/>
              <w:bottom w:val="single" w:color="auto" w:sz="4" w:space="0"/>
              <w:right w:val="single" w:color="auto" w:sz="4" w:space="0"/>
            </w:tcBorders>
            <w:shd w:val="clear" w:color="auto" w:fill="auto"/>
            <w:vAlign w:val="center"/>
          </w:tcPr>
          <w:p w14:paraId="668392C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0.00 </w:t>
            </w:r>
          </w:p>
        </w:tc>
        <w:tc>
          <w:tcPr>
            <w:tcW w:w="3000" w:type="dxa"/>
            <w:tcBorders>
              <w:top w:val="nil"/>
              <w:left w:val="nil"/>
              <w:bottom w:val="single" w:color="auto" w:sz="4" w:space="0"/>
              <w:right w:val="single" w:color="auto" w:sz="8" w:space="0"/>
            </w:tcBorders>
            <w:shd w:val="clear" w:color="auto" w:fill="auto"/>
            <w:vAlign w:val="center"/>
          </w:tcPr>
          <w:p w14:paraId="492C037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1.62 </w:t>
            </w:r>
          </w:p>
        </w:tc>
      </w:tr>
      <w:tr w14:paraId="0BCA1D8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8093390">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2130211</w:t>
            </w:r>
          </w:p>
        </w:tc>
        <w:tc>
          <w:tcPr>
            <w:tcW w:w="3527" w:type="dxa"/>
            <w:tcBorders>
              <w:top w:val="nil"/>
              <w:left w:val="nil"/>
              <w:bottom w:val="single" w:color="auto" w:sz="4" w:space="0"/>
              <w:right w:val="single" w:color="auto" w:sz="4" w:space="0"/>
            </w:tcBorders>
            <w:shd w:val="clear" w:color="auto" w:fill="auto"/>
            <w:vAlign w:val="center"/>
          </w:tcPr>
          <w:p w14:paraId="6B810B07">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动植物保护</w:t>
            </w:r>
          </w:p>
        </w:tc>
        <w:tc>
          <w:tcPr>
            <w:tcW w:w="3000" w:type="dxa"/>
            <w:tcBorders>
              <w:top w:val="nil"/>
              <w:left w:val="nil"/>
              <w:bottom w:val="single" w:color="auto" w:sz="4" w:space="0"/>
              <w:right w:val="single" w:color="auto" w:sz="4" w:space="0"/>
            </w:tcBorders>
            <w:shd w:val="clear" w:color="auto" w:fill="auto"/>
            <w:vAlign w:val="center"/>
          </w:tcPr>
          <w:p w14:paraId="75BA27BB">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261.45 </w:t>
            </w:r>
          </w:p>
        </w:tc>
        <w:tc>
          <w:tcPr>
            <w:tcW w:w="3492" w:type="dxa"/>
            <w:tcBorders>
              <w:top w:val="nil"/>
              <w:left w:val="nil"/>
              <w:bottom w:val="single" w:color="auto" w:sz="4" w:space="0"/>
              <w:right w:val="single" w:color="auto" w:sz="4" w:space="0"/>
            </w:tcBorders>
            <w:shd w:val="clear" w:color="auto" w:fill="auto"/>
            <w:vAlign w:val="center"/>
          </w:tcPr>
          <w:p w14:paraId="5D9E9BF3">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0.00 </w:t>
            </w:r>
          </w:p>
        </w:tc>
        <w:tc>
          <w:tcPr>
            <w:tcW w:w="3000" w:type="dxa"/>
            <w:tcBorders>
              <w:top w:val="nil"/>
              <w:left w:val="nil"/>
              <w:bottom w:val="single" w:color="auto" w:sz="4" w:space="0"/>
              <w:right w:val="single" w:color="auto" w:sz="8" w:space="0"/>
            </w:tcBorders>
            <w:shd w:val="clear" w:color="auto" w:fill="auto"/>
            <w:vAlign w:val="center"/>
          </w:tcPr>
          <w:p w14:paraId="55FD1C00">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261.45 </w:t>
            </w:r>
          </w:p>
        </w:tc>
      </w:tr>
      <w:tr w14:paraId="30FF0CF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4D58B2">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2130234</w:t>
            </w:r>
          </w:p>
        </w:tc>
        <w:tc>
          <w:tcPr>
            <w:tcW w:w="3527" w:type="dxa"/>
            <w:tcBorders>
              <w:top w:val="nil"/>
              <w:left w:val="nil"/>
              <w:bottom w:val="single" w:color="auto" w:sz="4" w:space="0"/>
              <w:right w:val="single" w:color="auto" w:sz="4" w:space="0"/>
            </w:tcBorders>
            <w:shd w:val="clear" w:color="auto" w:fill="auto"/>
            <w:vAlign w:val="center"/>
          </w:tcPr>
          <w:p w14:paraId="2858A299">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林业草原防灾减灾</w:t>
            </w:r>
          </w:p>
        </w:tc>
        <w:tc>
          <w:tcPr>
            <w:tcW w:w="3000" w:type="dxa"/>
            <w:tcBorders>
              <w:top w:val="nil"/>
              <w:left w:val="nil"/>
              <w:bottom w:val="single" w:color="auto" w:sz="4" w:space="0"/>
              <w:right w:val="single" w:color="auto" w:sz="4" w:space="0"/>
            </w:tcBorders>
            <w:shd w:val="clear" w:color="auto" w:fill="auto"/>
            <w:vAlign w:val="center"/>
          </w:tcPr>
          <w:p w14:paraId="76820F4F">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574.41 </w:t>
            </w:r>
          </w:p>
        </w:tc>
        <w:tc>
          <w:tcPr>
            <w:tcW w:w="3492" w:type="dxa"/>
            <w:tcBorders>
              <w:top w:val="nil"/>
              <w:left w:val="nil"/>
              <w:bottom w:val="single" w:color="auto" w:sz="4" w:space="0"/>
              <w:right w:val="single" w:color="auto" w:sz="4" w:space="0"/>
            </w:tcBorders>
            <w:shd w:val="clear" w:color="auto" w:fill="auto"/>
            <w:vAlign w:val="center"/>
          </w:tcPr>
          <w:p w14:paraId="32929810">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2.49 </w:t>
            </w:r>
          </w:p>
        </w:tc>
        <w:tc>
          <w:tcPr>
            <w:tcW w:w="3000" w:type="dxa"/>
            <w:tcBorders>
              <w:top w:val="nil"/>
              <w:left w:val="nil"/>
              <w:bottom w:val="single" w:color="auto" w:sz="4" w:space="0"/>
              <w:right w:val="single" w:color="auto" w:sz="8" w:space="0"/>
            </w:tcBorders>
            <w:shd w:val="clear" w:color="auto" w:fill="auto"/>
            <w:vAlign w:val="center"/>
          </w:tcPr>
          <w:p w14:paraId="2BC4C79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571.92 </w:t>
            </w:r>
          </w:p>
        </w:tc>
      </w:tr>
      <w:tr w14:paraId="5A4C807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ED80C4A">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2299999</w:t>
            </w:r>
          </w:p>
        </w:tc>
        <w:tc>
          <w:tcPr>
            <w:tcW w:w="3527" w:type="dxa"/>
            <w:tcBorders>
              <w:top w:val="nil"/>
              <w:left w:val="nil"/>
              <w:bottom w:val="single" w:color="auto" w:sz="4" w:space="0"/>
              <w:right w:val="single" w:color="auto" w:sz="4" w:space="0"/>
            </w:tcBorders>
            <w:shd w:val="clear" w:color="auto" w:fill="auto"/>
            <w:vAlign w:val="center"/>
          </w:tcPr>
          <w:p w14:paraId="434ED350">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其他支出</w:t>
            </w:r>
          </w:p>
        </w:tc>
        <w:tc>
          <w:tcPr>
            <w:tcW w:w="3000" w:type="dxa"/>
            <w:tcBorders>
              <w:top w:val="nil"/>
              <w:left w:val="nil"/>
              <w:bottom w:val="single" w:color="auto" w:sz="4" w:space="0"/>
              <w:right w:val="single" w:color="auto" w:sz="4" w:space="0"/>
            </w:tcBorders>
            <w:shd w:val="clear" w:color="auto" w:fill="auto"/>
            <w:vAlign w:val="center"/>
          </w:tcPr>
          <w:p w14:paraId="69A32FE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55.64 </w:t>
            </w:r>
          </w:p>
        </w:tc>
        <w:tc>
          <w:tcPr>
            <w:tcW w:w="3492" w:type="dxa"/>
            <w:tcBorders>
              <w:top w:val="nil"/>
              <w:left w:val="nil"/>
              <w:bottom w:val="single" w:color="auto" w:sz="4" w:space="0"/>
              <w:right w:val="single" w:color="auto" w:sz="4" w:space="0"/>
            </w:tcBorders>
            <w:shd w:val="clear" w:color="auto" w:fill="auto"/>
            <w:vAlign w:val="center"/>
          </w:tcPr>
          <w:p w14:paraId="7F31C2B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42.47 </w:t>
            </w:r>
          </w:p>
        </w:tc>
        <w:tc>
          <w:tcPr>
            <w:tcW w:w="3000" w:type="dxa"/>
            <w:tcBorders>
              <w:top w:val="nil"/>
              <w:left w:val="nil"/>
              <w:bottom w:val="single" w:color="auto" w:sz="4" w:space="0"/>
              <w:right w:val="single" w:color="auto" w:sz="8" w:space="0"/>
            </w:tcBorders>
            <w:shd w:val="clear" w:color="auto" w:fill="auto"/>
            <w:vAlign w:val="center"/>
          </w:tcPr>
          <w:p w14:paraId="115433B0">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13.17 </w:t>
            </w:r>
          </w:p>
        </w:tc>
      </w:tr>
      <w:tr w14:paraId="0B758BB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B951E9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14:paraId="236733B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4" w:space="0"/>
            </w:tcBorders>
            <w:shd w:val="clear" w:color="auto" w:fill="auto"/>
            <w:vAlign w:val="center"/>
          </w:tcPr>
          <w:p w14:paraId="59E2B48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14:paraId="774A8E6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14:paraId="5456A3F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77AF288A">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67A1CD3A">
      <w:pPr>
        <w:widowControl/>
        <w:jc w:val="left"/>
        <w:rPr>
          <w:rFonts w:ascii="Times New Roman" w:hAnsi="Times New Roman" w:eastAsia="仿宋_GB2312" w:cs="Times New Roman"/>
          <w:bCs/>
          <w:kern w:val="0"/>
          <w:szCs w:val="21"/>
        </w:rPr>
      </w:pPr>
    </w:p>
    <w:p w14:paraId="312A95D3">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66868709">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53FE73F8">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公开06表</w:t>
      </w:r>
    </w:p>
    <w:p w14:paraId="36C0C2A3">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3"/>
        <w:tblW w:w="14627" w:type="dxa"/>
        <w:jc w:val="center"/>
        <w:tblLayout w:type="fixed"/>
        <w:tblCellMar>
          <w:top w:w="0" w:type="dxa"/>
          <w:left w:w="108" w:type="dxa"/>
          <w:bottom w:w="0" w:type="dxa"/>
          <w:right w:w="108" w:type="dxa"/>
        </w:tblCellMar>
      </w:tblPr>
      <w:tblGrid>
        <w:gridCol w:w="1081"/>
        <w:gridCol w:w="2850"/>
        <w:gridCol w:w="1276"/>
        <w:gridCol w:w="1185"/>
        <w:gridCol w:w="1639"/>
        <w:gridCol w:w="933"/>
        <w:gridCol w:w="1217"/>
        <w:gridCol w:w="3517"/>
        <w:gridCol w:w="929"/>
      </w:tblGrid>
      <w:tr w14:paraId="09B8EF87">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46AD942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5A77D42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276" w:type="dxa"/>
            <w:tcBorders>
              <w:top w:val="single" w:color="auto" w:sz="4" w:space="0"/>
              <w:left w:val="nil"/>
              <w:bottom w:val="single" w:color="auto" w:sz="4" w:space="0"/>
              <w:right w:val="single" w:color="auto" w:sz="4" w:space="0"/>
            </w:tcBorders>
            <w:shd w:val="clear" w:color="auto" w:fill="auto"/>
            <w:vAlign w:val="center"/>
          </w:tcPr>
          <w:p w14:paraId="4954112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85" w:type="dxa"/>
            <w:tcBorders>
              <w:top w:val="single" w:color="auto" w:sz="4" w:space="0"/>
              <w:left w:val="nil"/>
              <w:bottom w:val="single" w:color="auto" w:sz="4" w:space="0"/>
              <w:right w:val="single" w:color="auto" w:sz="4" w:space="0"/>
            </w:tcBorders>
            <w:shd w:val="clear" w:color="auto" w:fill="auto"/>
            <w:vAlign w:val="center"/>
          </w:tcPr>
          <w:p w14:paraId="6714BA5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1639" w:type="dxa"/>
            <w:tcBorders>
              <w:top w:val="single" w:color="auto" w:sz="4" w:space="0"/>
              <w:left w:val="nil"/>
              <w:bottom w:val="single" w:color="auto" w:sz="4" w:space="0"/>
              <w:right w:val="single" w:color="auto" w:sz="4" w:space="0"/>
            </w:tcBorders>
            <w:shd w:val="clear" w:color="auto" w:fill="auto"/>
            <w:vAlign w:val="center"/>
          </w:tcPr>
          <w:p w14:paraId="25D82DF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5ECF5DB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128F521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1AB49D8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3B1E5EA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3518CB8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EF6EE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639052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1276" w:type="dxa"/>
            <w:tcBorders>
              <w:top w:val="nil"/>
              <w:left w:val="nil"/>
              <w:bottom w:val="single" w:color="auto" w:sz="4" w:space="0"/>
              <w:right w:val="single" w:color="auto" w:sz="4" w:space="0"/>
            </w:tcBorders>
            <w:shd w:val="clear" w:color="auto" w:fill="auto"/>
            <w:noWrap/>
            <w:vAlign w:val="center"/>
          </w:tcPr>
          <w:p w14:paraId="56BC39C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2,265.9</w:t>
            </w:r>
          </w:p>
        </w:tc>
        <w:tc>
          <w:tcPr>
            <w:tcW w:w="1185" w:type="dxa"/>
            <w:tcBorders>
              <w:top w:val="nil"/>
              <w:left w:val="nil"/>
              <w:bottom w:val="single" w:color="auto" w:sz="4" w:space="0"/>
              <w:right w:val="single" w:color="auto" w:sz="4" w:space="0"/>
            </w:tcBorders>
            <w:shd w:val="clear" w:color="auto" w:fill="auto"/>
            <w:noWrap/>
            <w:vAlign w:val="center"/>
          </w:tcPr>
          <w:p w14:paraId="005FAC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1639" w:type="dxa"/>
            <w:tcBorders>
              <w:top w:val="nil"/>
              <w:left w:val="nil"/>
              <w:bottom w:val="single" w:color="auto" w:sz="4" w:space="0"/>
              <w:right w:val="single" w:color="auto" w:sz="4" w:space="0"/>
            </w:tcBorders>
            <w:shd w:val="clear" w:color="auto" w:fill="auto"/>
            <w:noWrap/>
            <w:vAlign w:val="center"/>
          </w:tcPr>
          <w:p w14:paraId="77180D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21608E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296.8 </w:t>
            </w:r>
          </w:p>
        </w:tc>
        <w:tc>
          <w:tcPr>
            <w:tcW w:w="1217" w:type="dxa"/>
            <w:tcBorders>
              <w:top w:val="nil"/>
              <w:left w:val="nil"/>
              <w:bottom w:val="single" w:color="auto" w:sz="4" w:space="0"/>
              <w:right w:val="single" w:color="auto" w:sz="4" w:space="0"/>
            </w:tcBorders>
            <w:shd w:val="clear" w:color="auto" w:fill="auto"/>
            <w:noWrap/>
            <w:vAlign w:val="center"/>
          </w:tcPr>
          <w:p w14:paraId="4C921E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0C14FC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3635E9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2527F8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49800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1078EE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1276" w:type="dxa"/>
            <w:tcBorders>
              <w:top w:val="nil"/>
              <w:left w:val="nil"/>
              <w:bottom w:val="single" w:color="auto" w:sz="4" w:space="0"/>
              <w:right w:val="single" w:color="auto" w:sz="4" w:space="0"/>
            </w:tcBorders>
            <w:shd w:val="clear" w:color="auto" w:fill="auto"/>
            <w:noWrap/>
            <w:vAlign w:val="center"/>
          </w:tcPr>
          <w:p w14:paraId="31A9E7D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851.32</w:t>
            </w:r>
          </w:p>
        </w:tc>
        <w:tc>
          <w:tcPr>
            <w:tcW w:w="1185" w:type="dxa"/>
            <w:tcBorders>
              <w:top w:val="nil"/>
              <w:left w:val="nil"/>
              <w:bottom w:val="single" w:color="auto" w:sz="4" w:space="0"/>
              <w:right w:val="single" w:color="auto" w:sz="4" w:space="0"/>
            </w:tcBorders>
            <w:shd w:val="clear" w:color="auto" w:fill="auto"/>
            <w:noWrap/>
            <w:vAlign w:val="center"/>
          </w:tcPr>
          <w:p w14:paraId="124209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1639" w:type="dxa"/>
            <w:tcBorders>
              <w:top w:val="nil"/>
              <w:left w:val="nil"/>
              <w:bottom w:val="single" w:color="auto" w:sz="4" w:space="0"/>
              <w:right w:val="single" w:color="auto" w:sz="4" w:space="0"/>
            </w:tcBorders>
            <w:shd w:val="clear" w:color="auto" w:fill="auto"/>
            <w:noWrap/>
            <w:vAlign w:val="center"/>
          </w:tcPr>
          <w:p w14:paraId="76CEB1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4FDC80E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32.00 </w:t>
            </w:r>
          </w:p>
        </w:tc>
        <w:tc>
          <w:tcPr>
            <w:tcW w:w="1217" w:type="dxa"/>
            <w:tcBorders>
              <w:top w:val="nil"/>
              <w:left w:val="nil"/>
              <w:bottom w:val="single" w:color="auto" w:sz="4" w:space="0"/>
              <w:right w:val="single" w:color="auto" w:sz="4" w:space="0"/>
            </w:tcBorders>
            <w:shd w:val="clear" w:color="auto" w:fill="auto"/>
            <w:noWrap/>
            <w:vAlign w:val="center"/>
          </w:tcPr>
          <w:p w14:paraId="2D67DC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46C41C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41005A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DF45BB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788A8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27F0EF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1276" w:type="dxa"/>
            <w:tcBorders>
              <w:top w:val="nil"/>
              <w:left w:val="nil"/>
              <w:bottom w:val="single" w:color="auto" w:sz="4" w:space="0"/>
              <w:right w:val="single" w:color="auto" w:sz="4" w:space="0"/>
            </w:tcBorders>
            <w:shd w:val="clear" w:color="auto" w:fill="auto"/>
            <w:noWrap/>
            <w:vAlign w:val="center"/>
          </w:tcPr>
          <w:p w14:paraId="45E8DEB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78.63</w:t>
            </w:r>
          </w:p>
        </w:tc>
        <w:tc>
          <w:tcPr>
            <w:tcW w:w="1185" w:type="dxa"/>
            <w:tcBorders>
              <w:top w:val="nil"/>
              <w:left w:val="nil"/>
              <w:bottom w:val="single" w:color="auto" w:sz="4" w:space="0"/>
              <w:right w:val="single" w:color="auto" w:sz="4" w:space="0"/>
            </w:tcBorders>
            <w:shd w:val="clear" w:color="auto" w:fill="auto"/>
            <w:noWrap/>
            <w:vAlign w:val="center"/>
          </w:tcPr>
          <w:p w14:paraId="57B67E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1639" w:type="dxa"/>
            <w:tcBorders>
              <w:top w:val="nil"/>
              <w:left w:val="nil"/>
              <w:bottom w:val="single" w:color="auto" w:sz="4" w:space="0"/>
              <w:right w:val="single" w:color="auto" w:sz="4" w:space="0"/>
            </w:tcBorders>
            <w:shd w:val="clear" w:color="auto" w:fill="auto"/>
            <w:noWrap/>
            <w:vAlign w:val="center"/>
          </w:tcPr>
          <w:p w14:paraId="1104CF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6512354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9.47 </w:t>
            </w:r>
          </w:p>
        </w:tc>
        <w:tc>
          <w:tcPr>
            <w:tcW w:w="1217" w:type="dxa"/>
            <w:tcBorders>
              <w:top w:val="nil"/>
              <w:left w:val="nil"/>
              <w:bottom w:val="single" w:color="auto" w:sz="4" w:space="0"/>
              <w:right w:val="single" w:color="auto" w:sz="4" w:space="0"/>
            </w:tcBorders>
            <w:shd w:val="clear" w:color="auto" w:fill="auto"/>
            <w:noWrap/>
            <w:vAlign w:val="center"/>
          </w:tcPr>
          <w:p w14:paraId="0A3845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644906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2D5812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9EB048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D1329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5A18B4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1276" w:type="dxa"/>
            <w:tcBorders>
              <w:top w:val="nil"/>
              <w:left w:val="nil"/>
              <w:bottom w:val="single" w:color="auto" w:sz="4" w:space="0"/>
              <w:right w:val="single" w:color="auto" w:sz="4" w:space="0"/>
            </w:tcBorders>
            <w:shd w:val="clear" w:color="auto" w:fill="auto"/>
            <w:noWrap/>
            <w:vAlign w:val="center"/>
          </w:tcPr>
          <w:p w14:paraId="1978378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615.12</w:t>
            </w:r>
          </w:p>
        </w:tc>
        <w:tc>
          <w:tcPr>
            <w:tcW w:w="1185" w:type="dxa"/>
            <w:tcBorders>
              <w:top w:val="nil"/>
              <w:left w:val="nil"/>
              <w:bottom w:val="single" w:color="auto" w:sz="4" w:space="0"/>
              <w:right w:val="single" w:color="auto" w:sz="4" w:space="0"/>
            </w:tcBorders>
            <w:shd w:val="clear" w:color="auto" w:fill="auto"/>
            <w:noWrap/>
            <w:vAlign w:val="center"/>
          </w:tcPr>
          <w:p w14:paraId="372539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1639" w:type="dxa"/>
            <w:tcBorders>
              <w:top w:val="nil"/>
              <w:left w:val="nil"/>
              <w:bottom w:val="single" w:color="auto" w:sz="4" w:space="0"/>
              <w:right w:val="single" w:color="auto" w:sz="4" w:space="0"/>
            </w:tcBorders>
            <w:shd w:val="clear" w:color="auto" w:fill="auto"/>
            <w:noWrap/>
            <w:vAlign w:val="center"/>
          </w:tcPr>
          <w:p w14:paraId="76D5E3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0DB7CEA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3C9BCA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00D3B2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6C689F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7D8FDB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618CF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1BCF11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1276" w:type="dxa"/>
            <w:tcBorders>
              <w:top w:val="nil"/>
              <w:left w:val="nil"/>
              <w:bottom w:val="single" w:color="auto" w:sz="4" w:space="0"/>
              <w:right w:val="single" w:color="auto" w:sz="4" w:space="0"/>
            </w:tcBorders>
            <w:shd w:val="clear" w:color="auto" w:fill="auto"/>
            <w:noWrap/>
            <w:vAlign w:val="center"/>
          </w:tcPr>
          <w:p w14:paraId="3FFCFDE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22.66</w:t>
            </w:r>
          </w:p>
        </w:tc>
        <w:tc>
          <w:tcPr>
            <w:tcW w:w="1185" w:type="dxa"/>
            <w:tcBorders>
              <w:top w:val="nil"/>
              <w:left w:val="nil"/>
              <w:bottom w:val="single" w:color="auto" w:sz="4" w:space="0"/>
              <w:right w:val="single" w:color="auto" w:sz="4" w:space="0"/>
            </w:tcBorders>
            <w:shd w:val="clear" w:color="auto" w:fill="auto"/>
            <w:noWrap/>
            <w:vAlign w:val="center"/>
          </w:tcPr>
          <w:p w14:paraId="6BE4B2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1639" w:type="dxa"/>
            <w:tcBorders>
              <w:top w:val="nil"/>
              <w:left w:val="nil"/>
              <w:bottom w:val="single" w:color="auto" w:sz="4" w:space="0"/>
              <w:right w:val="single" w:color="auto" w:sz="4" w:space="0"/>
            </w:tcBorders>
            <w:shd w:val="clear" w:color="auto" w:fill="auto"/>
            <w:noWrap/>
            <w:vAlign w:val="center"/>
          </w:tcPr>
          <w:p w14:paraId="5A8F8E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6FF3914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5AE1A3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5FB145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637E0C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31F931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0A03A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1507A9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1276" w:type="dxa"/>
            <w:tcBorders>
              <w:top w:val="nil"/>
              <w:left w:val="nil"/>
              <w:bottom w:val="single" w:color="auto" w:sz="4" w:space="0"/>
              <w:right w:val="single" w:color="auto" w:sz="4" w:space="0"/>
            </w:tcBorders>
            <w:shd w:val="clear" w:color="auto" w:fill="auto"/>
            <w:noWrap/>
            <w:vAlign w:val="center"/>
          </w:tcPr>
          <w:p w14:paraId="4E2884D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14:paraId="457C9A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1639" w:type="dxa"/>
            <w:tcBorders>
              <w:top w:val="nil"/>
              <w:left w:val="nil"/>
              <w:bottom w:val="single" w:color="auto" w:sz="4" w:space="0"/>
              <w:right w:val="single" w:color="auto" w:sz="4" w:space="0"/>
            </w:tcBorders>
            <w:shd w:val="clear" w:color="auto" w:fill="auto"/>
            <w:noWrap/>
            <w:vAlign w:val="center"/>
          </w:tcPr>
          <w:p w14:paraId="1FD364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3A681E3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1.98 </w:t>
            </w:r>
          </w:p>
        </w:tc>
        <w:tc>
          <w:tcPr>
            <w:tcW w:w="1217" w:type="dxa"/>
            <w:tcBorders>
              <w:top w:val="nil"/>
              <w:left w:val="nil"/>
              <w:bottom w:val="single" w:color="auto" w:sz="4" w:space="0"/>
              <w:right w:val="single" w:color="auto" w:sz="4" w:space="0"/>
            </w:tcBorders>
            <w:shd w:val="clear" w:color="auto" w:fill="auto"/>
            <w:noWrap/>
            <w:vAlign w:val="center"/>
          </w:tcPr>
          <w:p w14:paraId="18F8AD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31C122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6EEC66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13F8B6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4AF53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578FB9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1276" w:type="dxa"/>
            <w:tcBorders>
              <w:top w:val="nil"/>
              <w:left w:val="nil"/>
              <w:bottom w:val="single" w:color="auto" w:sz="4" w:space="0"/>
              <w:right w:val="single" w:color="auto" w:sz="4" w:space="0"/>
            </w:tcBorders>
            <w:shd w:val="clear" w:color="auto" w:fill="auto"/>
            <w:noWrap/>
            <w:vAlign w:val="center"/>
          </w:tcPr>
          <w:p w14:paraId="70934CA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328.10</w:t>
            </w:r>
          </w:p>
        </w:tc>
        <w:tc>
          <w:tcPr>
            <w:tcW w:w="1185" w:type="dxa"/>
            <w:tcBorders>
              <w:top w:val="nil"/>
              <w:left w:val="nil"/>
              <w:bottom w:val="single" w:color="auto" w:sz="4" w:space="0"/>
              <w:right w:val="single" w:color="auto" w:sz="4" w:space="0"/>
            </w:tcBorders>
            <w:shd w:val="clear" w:color="auto" w:fill="auto"/>
            <w:noWrap/>
            <w:vAlign w:val="center"/>
          </w:tcPr>
          <w:p w14:paraId="71D4C5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1639" w:type="dxa"/>
            <w:tcBorders>
              <w:top w:val="nil"/>
              <w:left w:val="nil"/>
              <w:bottom w:val="single" w:color="auto" w:sz="4" w:space="0"/>
              <w:right w:val="single" w:color="auto" w:sz="4" w:space="0"/>
            </w:tcBorders>
            <w:shd w:val="clear" w:color="auto" w:fill="auto"/>
            <w:noWrap/>
            <w:vAlign w:val="center"/>
          </w:tcPr>
          <w:p w14:paraId="5F14F5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0EAD3B0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5.55 </w:t>
            </w:r>
          </w:p>
        </w:tc>
        <w:tc>
          <w:tcPr>
            <w:tcW w:w="1217" w:type="dxa"/>
            <w:tcBorders>
              <w:top w:val="nil"/>
              <w:left w:val="nil"/>
              <w:bottom w:val="single" w:color="auto" w:sz="4" w:space="0"/>
              <w:right w:val="single" w:color="auto" w:sz="4" w:space="0"/>
            </w:tcBorders>
            <w:shd w:val="clear" w:color="auto" w:fill="auto"/>
            <w:noWrap/>
            <w:vAlign w:val="center"/>
          </w:tcPr>
          <w:p w14:paraId="234A49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52600F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385FAA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2EF0F2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506D1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4152E4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1276" w:type="dxa"/>
            <w:tcBorders>
              <w:top w:val="nil"/>
              <w:left w:val="nil"/>
              <w:bottom w:val="single" w:color="auto" w:sz="4" w:space="0"/>
              <w:right w:val="single" w:color="auto" w:sz="4" w:space="0"/>
            </w:tcBorders>
            <w:shd w:val="clear" w:color="auto" w:fill="auto"/>
            <w:noWrap/>
            <w:vAlign w:val="center"/>
          </w:tcPr>
          <w:p w14:paraId="743EFEA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48.76</w:t>
            </w:r>
          </w:p>
        </w:tc>
        <w:tc>
          <w:tcPr>
            <w:tcW w:w="1185" w:type="dxa"/>
            <w:tcBorders>
              <w:top w:val="nil"/>
              <w:left w:val="nil"/>
              <w:bottom w:val="single" w:color="auto" w:sz="4" w:space="0"/>
              <w:right w:val="single" w:color="auto" w:sz="4" w:space="0"/>
            </w:tcBorders>
            <w:shd w:val="clear" w:color="auto" w:fill="auto"/>
            <w:noWrap/>
            <w:vAlign w:val="center"/>
          </w:tcPr>
          <w:p w14:paraId="09DD6E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1639" w:type="dxa"/>
            <w:tcBorders>
              <w:top w:val="nil"/>
              <w:left w:val="nil"/>
              <w:bottom w:val="single" w:color="auto" w:sz="4" w:space="0"/>
              <w:right w:val="single" w:color="auto" w:sz="4" w:space="0"/>
            </w:tcBorders>
            <w:shd w:val="clear" w:color="auto" w:fill="auto"/>
            <w:noWrap/>
            <w:vAlign w:val="center"/>
          </w:tcPr>
          <w:p w14:paraId="785713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5EC01FA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0.18 </w:t>
            </w:r>
          </w:p>
        </w:tc>
        <w:tc>
          <w:tcPr>
            <w:tcW w:w="1217" w:type="dxa"/>
            <w:tcBorders>
              <w:top w:val="nil"/>
              <w:left w:val="nil"/>
              <w:bottom w:val="single" w:color="auto" w:sz="4" w:space="0"/>
              <w:right w:val="single" w:color="auto" w:sz="4" w:space="0"/>
            </w:tcBorders>
            <w:shd w:val="clear" w:color="auto" w:fill="auto"/>
            <w:noWrap/>
            <w:vAlign w:val="center"/>
          </w:tcPr>
          <w:p w14:paraId="39725B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63E684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41A26A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7AB462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34C10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7E5F9A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1276" w:type="dxa"/>
            <w:tcBorders>
              <w:top w:val="nil"/>
              <w:left w:val="nil"/>
              <w:bottom w:val="single" w:color="auto" w:sz="4" w:space="0"/>
              <w:right w:val="single" w:color="auto" w:sz="4" w:space="0"/>
            </w:tcBorders>
            <w:shd w:val="clear" w:color="auto" w:fill="auto"/>
            <w:noWrap/>
            <w:vAlign w:val="center"/>
          </w:tcPr>
          <w:p w14:paraId="7F5EC89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125.82</w:t>
            </w:r>
          </w:p>
        </w:tc>
        <w:tc>
          <w:tcPr>
            <w:tcW w:w="1185" w:type="dxa"/>
            <w:tcBorders>
              <w:top w:val="nil"/>
              <w:left w:val="nil"/>
              <w:bottom w:val="single" w:color="auto" w:sz="4" w:space="0"/>
              <w:right w:val="single" w:color="auto" w:sz="4" w:space="0"/>
            </w:tcBorders>
            <w:shd w:val="clear" w:color="auto" w:fill="auto"/>
            <w:noWrap/>
            <w:vAlign w:val="center"/>
          </w:tcPr>
          <w:p w14:paraId="7C6385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1639" w:type="dxa"/>
            <w:tcBorders>
              <w:top w:val="nil"/>
              <w:left w:val="nil"/>
              <w:bottom w:val="single" w:color="auto" w:sz="4" w:space="0"/>
              <w:right w:val="single" w:color="auto" w:sz="4" w:space="0"/>
            </w:tcBorders>
            <w:shd w:val="clear" w:color="auto" w:fill="auto"/>
            <w:noWrap/>
            <w:vAlign w:val="center"/>
          </w:tcPr>
          <w:p w14:paraId="4E1FCF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3FF776C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03E87C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100048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58C55C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26A3C8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8AAD2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697395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1276" w:type="dxa"/>
            <w:tcBorders>
              <w:top w:val="nil"/>
              <w:left w:val="nil"/>
              <w:bottom w:val="single" w:color="auto" w:sz="4" w:space="0"/>
              <w:right w:val="single" w:color="auto" w:sz="4" w:space="0"/>
            </w:tcBorders>
            <w:shd w:val="clear" w:color="auto" w:fill="auto"/>
            <w:noWrap/>
            <w:vAlign w:val="center"/>
          </w:tcPr>
          <w:p w14:paraId="6DFEDDB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14:paraId="68B7C5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1639" w:type="dxa"/>
            <w:tcBorders>
              <w:top w:val="nil"/>
              <w:left w:val="nil"/>
              <w:bottom w:val="single" w:color="auto" w:sz="4" w:space="0"/>
              <w:right w:val="single" w:color="auto" w:sz="4" w:space="0"/>
            </w:tcBorders>
            <w:shd w:val="clear" w:color="auto" w:fill="auto"/>
            <w:noWrap/>
            <w:vAlign w:val="center"/>
          </w:tcPr>
          <w:p w14:paraId="5E72AB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6190FD6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2BC04C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03DEDD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31E6A2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C58E77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E9EDF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1EE347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1276" w:type="dxa"/>
            <w:tcBorders>
              <w:top w:val="nil"/>
              <w:left w:val="nil"/>
              <w:bottom w:val="single" w:color="auto" w:sz="4" w:space="0"/>
              <w:right w:val="single" w:color="auto" w:sz="4" w:space="0"/>
            </w:tcBorders>
            <w:shd w:val="clear" w:color="auto" w:fill="auto"/>
            <w:noWrap/>
            <w:vAlign w:val="center"/>
          </w:tcPr>
          <w:p w14:paraId="1CC2694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25.88</w:t>
            </w:r>
          </w:p>
        </w:tc>
        <w:tc>
          <w:tcPr>
            <w:tcW w:w="1185" w:type="dxa"/>
            <w:tcBorders>
              <w:top w:val="nil"/>
              <w:left w:val="nil"/>
              <w:bottom w:val="single" w:color="auto" w:sz="4" w:space="0"/>
              <w:right w:val="single" w:color="auto" w:sz="4" w:space="0"/>
            </w:tcBorders>
            <w:shd w:val="clear" w:color="auto" w:fill="auto"/>
            <w:noWrap/>
            <w:vAlign w:val="center"/>
          </w:tcPr>
          <w:p w14:paraId="7BAAE3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1639" w:type="dxa"/>
            <w:tcBorders>
              <w:top w:val="nil"/>
              <w:left w:val="nil"/>
              <w:bottom w:val="single" w:color="auto" w:sz="4" w:space="0"/>
              <w:right w:val="single" w:color="auto" w:sz="4" w:space="0"/>
            </w:tcBorders>
            <w:shd w:val="clear" w:color="auto" w:fill="auto"/>
            <w:noWrap/>
            <w:vAlign w:val="center"/>
          </w:tcPr>
          <w:p w14:paraId="3212DF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39A34AD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12.28 </w:t>
            </w:r>
          </w:p>
        </w:tc>
        <w:tc>
          <w:tcPr>
            <w:tcW w:w="1217" w:type="dxa"/>
            <w:tcBorders>
              <w:top w:val="nil"/>
              <w:left w:val="nil"/>
              <w:bottom w:val="single" w:color="auto" w:sz="4" w:space="0"/>
              <w:right w:val="single" w:color="auto" w:sz="4" w:space="0"/>
            </w:tcBorders>
            <w:shd w:val="clear" w:color="auto" w:fill="auto"/>
            <w:noWrap/>
            <w:vAlign w:val="center"/>
          </w:tcPr>
          <w:p w14:paraId="292C99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5EB514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199430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B08F71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32EA5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46B717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1276" w:type="dxa"/>
            <w:tcBorders>
              <w:top w:val="nil"/>
              <w:left w:val="nil"/>
              <w:bottom w:val="single" w:color="auto" w:sz="4" w:space="0"/>
              <w:right w:val="single" w:color="auto" w:sz="4" w:space="0"/>
            </w:tcBorders>
            <w:shd w:val="clear" w:color="auto" w:fill="auto"/>
            <w:noWrap/>
            <w:vAlign w:val="center"/>
          </w:tcPr>
          <w:p w14:paraId="2710664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166.33</w:t>
            </w:r>
          </w:p>
        </w:tc>
        <w:tc>
          <w:tcPr>
            <w:tcW w:w="1185" w:type="dxa"/>
            <w:tcBorders>
              <w:top w:val="nil"/>
              <w:left w:val="nil"/>
              <w:bottom w:val="single" w:color="auto" w:sz="4" w:space="0"/>
              <w:right w:val="single" w:color="auto" w:sz="4" w:space="0"/>
            </w:tcBorders>
            <w:shd w:val="clear" w:color="auto" w:fill="auto"/>
            <w:noWrap/>
            <w:vAlign w:val="center"/>
          </w:tcPr>
          <w:p w14:paraId="0E1535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1639" w:type="dxa"/>
            <w:tcBorders>
              <w:top w:val="nil"/>
              <w:left w:val="nil"/>
              <w:bottom w:val="single" w:color="auto" w:sz="4" w:space="0"/>
              <w:right w:val="single" w:color="auto" w:sz="4" w:space="0"/>
            </w:tcBorders>
            <w:shd w:val="clear" w:color="auto" w:fill="auto"/>
            <w:noWrap/>
            <w:vAlign w:val="center"/>
          </w:tcPr>
          <w:p w14:paraId="5C2000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73352C1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7C20C1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6DC9FC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7EEC13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812463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87CAB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1110E3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1276" w:type="dxa"/>
            <w:tcBorders>
              <w:top w:val="nil"/>
              <w:left w:val="nil"/>
              <w:bottom w:val="single" w:color="auto" w:sz="4" w:space="0"/>
              <w:right w:val="single" w:color="auto" w:sz="4" w:space="0"/>
            </w:tcBorders>
            <w:shd w:val="clear" w:color="auto" w:fill="auto"/>
            <w:noWrap/>
            <w:vAlign w:val="center"/>
          </w:tcPr>
          <w:p w14:paraId="4D54A5C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3.28</w:t>
            </w:r>
          </w:p>
        </w:tc>
        <w:tc>
          <w:tcPr>
            <w:tcW w:w="1185" w:type="dxa"/>
            <w:tcBorders>
              <w:top w:val="nil"/>
              <w:left w:val="nil"/>
              <w:bottom w:val="single" w:color="auto" w:sz="4" w:space="0"/>
              <w:right w:val="single" w:color="auto" w:sz="4" w:space="0"/>
            </w:tcBorders>
            <w:shd w:val="clear" w:color="auto" w:fill="auto"/>
            <w:noWrap/>
            <w:vAlign w:val="center"/>
          </w:tcPr>
          <w:p w14:paraId="6D8BAA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1639" w:type="dxa"/>
            <w:tcBorders>
              <w:top w:val="nil"/>
              <w:left w:val="nil"/>
              <w:bottom w:val="single" w:color="auto" w:sz="4" w:space="0"/>
              <w:right w:val="single" w:color="auto" w:sz="4" w:space="0"/>
            </w:tcBorders>
            <w:shd w:val="clear" w:color="auto" w:fill="auto"/>
            <w:noWrap/>
            <w:vAlign w:val="center"/>
          </w:tcPr>
          <w:p w14:paraId="71CE77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56B584F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4.34 </w:t>
            </w:r>
          </w:p>
        </w:tc>
        <w:tc>
          <w:tcPr>
            <w:tcW w:w="1217" w:type="dxa"/>
            <w:tcBorders>
              <w:top w:val="nil"/>
              <w:left w:val="nil"/>
              <w:bottom w:val="single" w:color="auto" w:sz="4" w:space="0"/>
              <w:right w:val="single" w:color="auto" w:sz="4" w:space="0"/>
            </w:tcBorders>
            <w:shd w:val="clear" w:color="auto" w:fill="auto"/>
            <w:noWrap/>
            <w:vAlign w:val="center"/>
          </w:tcPr>
          <w:p w14:paraId="314A13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6AABDD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0259A5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981629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5E3D9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1437EF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1276" w:type="dxa"/>
            <w:tcBorders>
              <w:top w:val="nil"/>
              <w:left w:val="nil"/>
              <w:bottom w:val="single" w:color="auto" w:sz="4" w:space="0"/>
              <w:right w:val="single" w:color="auto" w:sz="4" w:space="0"/>
            </w:tcBorders>
            <w:shd w:val="clear" w:color="auto" w:fill="auto"/>
            <w:noWrap/>
            <w:vAlign w:val="center"/>
          </w:tcPr>
          <w:p w14:paraId="36479AB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14:paraId="109CE9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1639" w:type="dxa"/>
            <w:tcBorders>
              <w:top w:val="nil"/>
              <w:left w:val="nil"/>
              <w:bottom w:val="single" w:color="auto" w:sz="4" w:space="0"/>
              <w:right w:val="single" w:color="auto" w:sz="4" w:space="0"/>
            </w:tcBorders>
            <w:shd w:val="clear" w:color="auto" w:fill="auto"/>
            <w:noWrap/>
            <w:vAlign w:val="center"/>
          </w:tcPr>
          <w:p w14:paraId="4EE3C6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7F5B662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729FC6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72F4A7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3FCD66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608C53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CD2B5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43D1C7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1276" w:type="dxa"/>
            <w:tcBorders>
              <w:top w:val="nil"/>
              <w:left w:val="nil"/>
              <w:bottom w:val="single" w:color="auto" w:sz="4" w:space="0"/>
              <w:right w:val="single" w:color="auto" w:sz="4" w:space="0"/>
            </w:tcBorders>
            <w:shd w:val="clear" w:color="auto" w:fill="auto"/>
            <w:noWrap/>
            <w:vAlign w:val="center"/>
          </w:tcPr>
          <w:p w14:paraId="2CC90BF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133.05</w:t>
            </w:r>
          </w:p>
        </w:tc>
        <w:tc>
          <w:tcPr>
            <w:tcW w:w="1185" w:type="dxa"/>
            <w:tcBorders>
              <w:top w:val="nil"/>
              <w:left w:val="nil"/>
              <w:bottom w:val="single" w:color="auto" w:sz="4" w:space="0"/>
              <w:right w:val="single" w:color="auto" w:sz="4" w:space="0"/>
            </w:tcBorders>
            <w:shd w:val="clear" w:color="auto" w:fill="auto"/>
            <w:noWrap/>
            <w:vAlign w:val="center"/>
          </w:tcPr>
          <w:p w14:paraId="55DE65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1639" w:type="dxa"/>
            <w:tcBorders>
              <w:top w:val="nil"/>
              <w:left w:val="nil"/>
              <w:bottom w:val="single" w:color="auto" w:sz="4" w:space="0"/>
              <w:right w:val="single" w:color="auto" w:sz="4" w:space="0"/>
            </w:tcBorders>
            <w:shd w:val="clear" w:color="auto" w:fill="auto"/>
            <w:noWrap/>
            <w:vAlign w:val="center"/>
          </w:tcPr>
          <w:p w14:paraId="495BD3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4CE361D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0.81 </w:t>
            </w:r>
          </w:p>
        </w:tc>
        <w:tc>
          <w:tcPr>
            <w:tcW w:w="1217" w:type="dxa"/>
            <w:tcBorders>
              <w:top w:val="nil"/>
              <w:left w:val="nil"/>
              <w:bottom w:val="single" w:color="auto" w:sz="4" w:space="0"/>
              <w:right w:val="single" w:color="auto" w:sz="4" w:space="0"/>
            </w:tcBorders>
            <w:shd w:val="clear" w:color="auto" w:fill="auto"/>
            <w:noWrap/>
            <w:vAlign w:val="center"/>
          </w:tcPr>
          <w:p w14:paraId="53A320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1B9B2E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32F353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10F64C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D39A0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3EEEB2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1276" w:type="dxa"/>
            <w:tcBorders>
              <w:top w:val="nil"/>
              <w:left w:val="nil"/>
              <w:bottom w:val="single" w:color="auto" w:sz="4" w:space="0"/>
              <w:right w:val="single" w:color="auto" w:sz="4" w:space="0"/>
            </w:tcBorders>
            <w:shd w:val="clear" w:color="auto" w:fill="auto"/>
            <w:noWrap/>
            <w:vAlign w:val="center"/>
          </w:tcPr>
          <w:p w14:paraId="54CDEA9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14:paraId="18D716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1639" w:type="dxa"/>
            <w:tcBorders>
              <w:top w:val="nil"/>
              <w:left w:val="nil"/>
              <w:bottom w:val="single" w:color="auto" w:sz="4" w:space="0"/>
              <w:right w:val="single" w:color="auto" w:sz="4" w:space="0"/>
            </w:tcBorders>
            <w:shd w:val="clear" w:color="auto" w:fill="auto"/>
            <w:noWrap/>
            <w:vAlign w:val="center"/>
          </w:tcPr>
          <w:p w14:paraId="1F88D6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53145E5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0.07 </w:t>
            </w:r>
          </w:p>
        </w:tc>
        <w:tc>
          <w:tcPr>
            <w:tcW w:w="1217" w:type="dxa"/>
            <w:tcBorders>
              <w:top w:val="nil"/>
              <w:left w:val="nil"/>
              <w:bottom w:val="single" w:color="auto" w:sz="4" w:space="0"/>
              <w:right w:val="single" w:color="auto" w:sz="4" w:space="0"/>
            </w:tcBorders>
            <w:shd w:val="clear" w:color="auto" w:fill="auto"/>
            <w:noWrap/>
            <w:vAlign w:val="center"/>
          </w:tcPr>
          <w:p w14:paraId="7DCC52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66BC57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0E0527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993BBA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E1160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09BC12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1276" w:type="dxa"/>
            <w:tcBorders>
              <w:top w:val="nil"/>
              <w:left w:val="nil"/>
              <w:bottom w:val="single" w:color="auto" w:sz="4" w:space="0"/>
              <w:right w:val="single" w:color="auto" w:sz="4" w:space="0"/>
            </w:tcBorders>
            <w:shd w:val="clear" w:color="auto" w:fill="auto"/>
            <w:noWrap/>
            <w:vAlign w:val="center"/>
          </w:tcPr>
          <w:p w14:paraId="5444714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14:paraId="18CB8C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1639" w:type="dxa"/>
            <w:tcBorders>
              <w:top w:val="nil"/>
              <w:left w:val="nil"/>
              <w:bottom w:val="single" w:color="auto" w:sz="4" w:space="0"/>
              <w:right w:val="single" w:color="auto" w:sz="4" w:space="0"/>
            </w:tcBorders>
            <w:shd w:val="clear" w:color="auto" w:fill="auto"/>
            <w:noWrap/>
            <w:vAlign w:val="center"/>
          </w:tcPr>
          <w:p w14:paraId="0A7214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46FC246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8.37 </w:t>
            </w:r>
          </w:p>
        </w:tc>
        <w:tc>
          <w:tcPr>
            <w:tcW w:w="1217" w:type="dxa"/>
            <w:tcBorders>
              <w:top w:val="nil"/>
              <w:left w:val="nil"/>
              <w:bottom w:val="single" w:color="auto" w:sz="4" w:space="0"/>
              <w:right w:val="single" w:color="auto" w:sz="4" w:space="0"/>
            </w:tcBorders>
            <w:shd w:val="clear" w:color="auto" w:fill="auto"/>
            <w:noWrap/>
            <w:vAlign w:val="center"/>
          </w:tcPr>
          <w:p w14:paraId="073E16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3049F8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25BF43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B3CDA0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96251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16004C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1276" w:type="dxa"/>
            <w:tcBorders>
              <w:top w:val="nil"/>
              <w:left w:val="nil"/>
              <w:bottom w:val="single" w:color="auto" w:sz="4" w:space="0"/>
              <w:right w:val="single" w:color="auto" w:sz="4" w:space="0"/>
            </w:tcBorders>
            <w:shd w:val="clear" w:color="auto" w:fill="auto"/>
            <w:noWrap/>
            <w:vAlign w:val="center"/>
          </w:tcPr>
          <w:p w14:paraId="7C0DA0F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14:paraId="313FEA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1639" w:type="dxa"/>
            <w:tcBorders>
              <w:top w:val="nil"/>
              <w:left w:val="nil"/>
              <w:bottom w:val="single" w:color="auto" w:sz="4" w:space="0"/>
              <w:right w:val="single" w:color="auto" w:sz="4" w:space="0"/>
            </w:tcBorders>
            <w:shd w:val="clear" w:color="auto" w:fill="auto"/>
            <w:noWrap/>
            <w:vAlign w:val="center"/>
          </w:tcPr>
          <w:p w14:paraId="58554A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683D5C8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34B950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04043E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0664B8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99F3C9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B850A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3910BE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1276" w:type="dxa"/>
            <w:tcBorders>
              <w:top w:val="nil"/>
              <w:left w:val="nil"/>
              <w:bottom w:val="single" w:color="auto" w:sz="4" w:space="0"/>
              <w:right w:val="single" w:color="auto" w:sz="4" w:space="0"/>
            </w:tcBorders>
            <w:shd w:val="clear" w:color="auto" w:fill="auto"/>
            <w:noWrap/>
            <w:vAlign w:val="center"/>
          </w:tcPr>
          <w:p w14:paraId="1FC1C61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26.36</w:t>
            </w:r>
          </w:p>
        </w:tc>
        <w:tc>
          <w:tcPr>
            <w:tcW w:w="1185" w:type="dxa"/>
            <w:tcBorders>
              <w:top w:val="nil"/>
              <w:left w:val="nil"/>
              <w:bottom w:val="single" w:color="auto" w:sz="4" w:space="0"/>
              <w:right w:val="single" w:color="auto" w:sz="4" w:space="0"/>
            </w:tcBorders>
            <w:shd w:val="clear" w:color="auto" w:fill="auto"/>
            <w:noWrap/>
            <w:vAlign w:val="center"/>
          </w:tcPr>
          <w:p w14:paraId="5C081E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1639" w:type="dxa"/>
            <w:tcBorders>
              <w:top w:val="nil"/>
              <w:left w:val="nil"/>
              <w:bottom w:val="single" w:color="auto" w:sz="4" w:space="0"/>
              <w:right w:val="single" w:color="auto" w:sz="4" w:space="0"/>
            </w:tcBorders>
            <w:shd w:val="clear" w:color="auto" w:fill="auto"/>
            <w:noWrap/>
            <w:vAlign w:val="center"/>
          </w:tcPr>
          <w:p w14:paraId="4BAFBB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7A5EE39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248C38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4F76AF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57CEA4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69A69E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C01B4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7ADFD9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1276" w:type="dxa"/>
            <w:tcBorders>
              <w:top w:val="nil"/>
              <w:left w:val="nil"/>
              <w:bottom w:val="single" w:color="auto" w:sz="4" w:space="0"/>
              <w:right w:val="single" w:color="auto" w:sz="4" w:space="0"/>
            </w:tcBorders>
            <w:shd w:val="clear" w:color="auto" w:fill="auto"/>
            <w:noWrap/>
            <w:vAlign w:val="center"/>
          </w:tcPr>
          <w:p w14:paraId="5737FFB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98.50</w:t>
            </w:r>
          </w:p>
        </w:tc>
        <w:tc>
          <w:tcPr>
            <w:tcW w:w="1185" w:type="dxa"/>
            <w:tcBorders>
              <w:top w:val="nil"/>
              <w:left w:val="nil"/>
              <w:bottom w:val="single" w:color="auto" w:sz="4" w:space="0"/>
              <w:right w:val="single" w:color="auto" w:sz="4" w:space="0"/>
            </w:tcBorders>
            <w:shd w:val="clear" w:color="auto" w:fill="auto"/>
            <w:noWrap/>
            <w:vAlign w:val="center"/>
          </w:tcPr>
          <w:p w14:paraId="607828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1639" w:type="dxa"/>
            <w:tcBorders>
              <w:top w:val="nil"/>
              <w:left w:val="nil"/>
              <w:bottom w:val="single" w:color="auto" w:sz="4" w:space="0"/>
              <w:right w:val="single" w:color="auto" w:sz="4" w:space="0"/>
            </w:tcBorders>
            <w:shd w:val="clear" w:color="auto" w:fill="auto"/>
            <w:noWrap/>
            <w:vAlign w:val="center"/>
          </w:tcPr>
          <w:p w14:paraId="54BD9A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77213EB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37A2E7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4849EA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5AC62E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D67983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598E3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432588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1276" w:type="dxa"/>
            <w:tcBorders>
              <w:top w:val="nil"/>
              <w:left w:val="nil"/>
              <w:bottom w:val="single" w:color="auto" w:sz="4" w:space="0"/>
              <w:right w:val="single" w:color="auto" w:sz="4" w:space="0"/>
            </w:tcBorders>
            <w:shd w:val="clear" w:color="auto" w:fill="auto"/>
            <w:noWrap/>
            <w:vAlign w:val="center"/>
          </w:tcPr>
          <w:p w14:paraId="2D2D1EB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7.97</w:t>
            </w:r>
          </w:p>
        </w:tc>
        <w:tc>
          <w:tcPr>
            <w:tcW w:w="1185" w:type="dxa"/>
            <w:tcBorders>
              <w:top w:val="nil"/>
              <w:left w:val="nil"/>
              <w:bottom w:val="single" w:color="auto" w:sz="4" w:space="0"/>
              <w:right w:val="single" w:color="auto" w:sz="4" w:space="0"/>
            </w:tcBorders>
            <w:shd w:val="clear" w:color="auto" w:fill="auto"/>
            <w:noWrap/>
            <w:vAlign w:val="center"/>
          </w:tcPr>
          <w:p w14:paraId="028C87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1639" w:type="dxa"/>
            <w:tcBorders>
              <w:top w:val="nil"/>
              <w:left w:val="nil"/>
              <w:bottom w:val="single" w:color="auto" w:sz="4" w:space="0"/>
              <w:right w:val="single" w:color="auto" w:sz="4" w:space="0"/>
            </w:tcBorders>
            <w:shd w:val="clear" w:color="auto" w:fill="auto"/>
            <w:noWrap/>
            <w:vAlign w:val="center"/>
          </w:tcPr>
          <w:p w14:paraId="73BCB8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72D4EC7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25.54 </w:t>
            </w:r>
          </w:p>
        </w:tc>
        <w:tc>
          <w:tcPr>
            <w:tcW w:w="1217" w:type="dxa"/>
            <w:tcBorders>
              <w:top w:val="nil"/>
              <w:left w:val="nil"/>
              <w:bottom w:val="single" w:color="auto" w:sz="4" w:space="0"/>
              <w:right w:val="single" w:color="auto" w:sz="4" w:space="0"/>
            </w:tcBorders>
            <w:shd w:val="clear" w:color="auto" w:fill="auto"/>
            <w:noWrap/>
            <w:vAlign w:val="center"/>
          </w:tcPr>
          <w:p w14:paraId="450615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2379AD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43C3F1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B4CD00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F6B82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789954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1276" w:type="dxa"/>
            <w:tcBorders>
              <w:top w:val="nil"/>
              <w:left w:val="nil"/>
              <w:bottom w:val="single" w:color="auto" w:sz="4" w:space="0"/>
              <w:right w:val="single" w:color="auto" w:sz="4" w:space="0"/>
            </w:tcBorders>
            <w:shd w:val="clear" w:color="auto" w:fill="auto"/>
            <w:noWrap/>
            <w:vAlign w:val="center"/>
          </w:tcPr>
          <w:p w14:paraId="5FE3AB7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0.10</w:t>
            </w:r>
          </w:p>
        </w:tc>
        <w:tc>
          <w:tcPr>
            <w:tcW w:w="1185" w:type="dxa"/>
            <w:tcBorders>
              <w:top w:val="nil"/>
              <w:left w:val="nil"/>
              <w:bottom w:val="single" w:color="auto" w:sz="4" w:space="0"/>
              <w:right w:val="single" w:color="auto" w:sz="4" w:space="0"/>
            </w:tcBorders>
            <w:shd w:val="clear" w:color="auto" w:fill="auto"/>
            <w:noWrap/>
            <w:vAlign w:val="center"/>
          </w:tcPr>
          <w:p w14:paraId="213BF4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1639" w:type="dxa"/>
            <w:tcBorders>
              <w:top w:val="nil"/>
              <w:left w:val="nil"/>
              <w:bottom w:val="single" w:color="auto" w:sz="4" w:space="0"/>
              <w:right w:val="single" w:color="auto" w:sz="4" w:space="0"/>
            </w:tcBorders>
            <w:shd w:val="clear" w:color="auto" w:fill="auto"/>
            <w:noWrap/>
            <w:vAlign w:val="center"/>
          </w:tcPr>
          <w:p w14:paraId="40475B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7F79F42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63.43 </w:t>
            </w:r>
          </w:p>
        </w:tc>
        <w:tc>
          <w:tcPr>
            <w:tcW w:w="1217" w:type="dxa"/>
            <w:tcBorders>
              <w:top w:val="nil"/>
              <w:left w:val="nil"/>
              <w:bottom w:val="single" w:color="auto" w:sz="4" w:space="0"/>
              <w:right w:val="single" w:color="auto" w:sz="4" w:space="0"/>
            </w:tcBorders>
            <w:shd w:val="clear" w:color="auto" w:fill="auto"/>
            <w:noWrap/>
            <w:vAlign w:val="center"/>
          </w:tcPr>
          <w:p w14:paraId="7E24E0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284488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61BF49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9375A3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F9015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6D795C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1276" w:type="dxa"/>
            <w:tcBorders>
              <w:top w:val="nil"/>
              <w:left w:val="nil"/>
              <w:bottom w:val="single" w:color="auto" w:sz="4" w:space="0"/>
              <w:right w:val="single" w:color="auto" w:sz="4" w:space="0"/>
            </w:tcBorders>
            <w:shd w:val="clear" w:color="auto" w:fill="auto"/>
            <w:noWrap/>
            <w:vAlign w:val="center"/>
          </w:tcPr>
          <w:p w14:paraId="6B6953D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14:paraId="79791A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1639" w:type="dxa"/>
            <w:tcBorders>
              <w:top w:val="nil"/>
              <w:left w:val="nil"/>
              <w:bottom w:val="single" w:color="auto" w:sz="4" w:space="0"/>
              <w:right w:val="single" w:color="auto" w:sz="4" w:space="0"/>
            </w:tcBorders>
            <w:shd w:val="clear" w:color="auto" w:fill="auto"/>
            <w:noWrap/>
            <w:vAlign w:val="center"/>
          </w:tcPr>
          <w:p w14:paraId="02AD00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14D8422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60.95 </w:t>
            </w:r>
          </w:p>
        </w:tc>
        <w:tc>
          <w:tcPr>
            <w:tcW w:w="1217" w:type="dxa"/>
            <w:tcBorders>
              <w:top w:val="nil"/>
              <w:left w:val="nil"/>
              <w:bottom w:val="single" w:color="auto" w:sz="4" w:space="0"/>
              <w:right w:val="single" w:color="auto" w:sz="4" w:space="0"/>
            </w:tcBorders>
            <w:shd w:val="clear" w:color="auto" w:fill="auto"/>
            <w:noWrap/>
            <w:vAlign w:val="center"/>
          </w:tcPr>
          <w:p w14:paraId="2CCBC2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358E1C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63B690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076B8F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F17A5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7F08C6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1276" w:type="dxa"/>
            <w:tcBorders>
              <w:top w:val="nil"/>
              <w:left w:val="nil"/>
              <w:bottom w:val="single" w:color="auto" w:sz="4" w:space="0"/>
              <w:right w:val="single" w:color="auto" w:sz="4" w:space="0"/>
            </w:tcBorders>
            <w:shd w:val="clear" w:color="auto" w:fill="auto"/>
            <w:noWrap/>
            <w:vAlign w:val="center"/>
          </w:tcPr>
          <w:p w14:paraId="14EBFBB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0.12</w:t>
            </w:r>
          </w:p>
        </w:tc>
        <w:tc>
          <w:tcPr>
            <w:tcW w:w="1185" w:type="dxa"/>
            <w:tcBorders>
              <w:top w:val="nil"/>
              <w:left w:val="nil"/>
              <w:bottom w:val="single" w:color="auto" w:sz="4" w:space="0"/>
              <w:right w:val="single" w:color="auto" w:sz="4" w:space="0"/>
            </w:tcBorders>
            <w:shd w:val="clear" w:color="auto" w:fill="auto"/>
            <w:noWrap/>
            <w:vAlign w:val="center"/>
          </w:tcPr>
          <w:p w14:paraId="40F8E1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1639" w:type="dxa"/>
            <w:tcBorders>
              <w:top w:val="nil"/>
              <w:left w:val="nil"/>
              <w:bottom w:val="single" w:color="auto" w:sz="4" w:space="0"/>
              <w:right w:val="single" w:color="auto" w:sz="4" w:space="0"/>
            </w:tcBorders>
            <w:shd w:val="clear" w:color="auto" w:fill="auto"/>
            <w:noWrap/>
            <w:vAlign w:val="center"/>
          </w:tcPr>
          <w:p w14:paraId="05016F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67154BF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4.44 </w:t>
            </w:r>
          </w:p>
        </w:tc>
        <w:tc>
          <w:tcPr>
            <w:tcW w:w="1217" w:type="dxa"/>
            <w:tcBorders>
              <w:top w:val="nil"/>
              <w:left w:val="nil"/>
              <w:bottom w:val="single" w:color="auto" w:sz="4" w:space="0"/>
              <w:right w:val="single" w:color="auto" w:sz="4" w:space="0"/>
            </w:tcBorders>
            <w:shd w:val="clear" w:color="auto" w:fill="auto"/>
            <w:noWrap/>
            <w:vAlign w:val="center"/>
          </w:tcPr>
          <w:p w14:paraId="6EE586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05E2DD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72EE25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4945959D">
            <w:pPr>
              <w:widowControl/>
              <w:jc w:val="left"/>
              <w:rPr>
                <w:rFonts w:ascii="Times New Roman" w:hAnsi="Times New Roman" w:eastAsia="仿宋_GB2312" w:cs="Times New Roman"/>
                <w:color w:val="000000"/>
                <w:kern w:val="0"/>
                <w:szCs w:val="20"/>
              </w:rPr>
            </w:pPr>
          </w:p>
          <w:tbl>
            <w:tblPr>
              <w:tblStyle w:val="13"/>
              <w:tblW w:w="3946" w:type="dxa"/>
              <w:tblInd w:w="0" w:type="dxa"/>
              <w:tblLayout w:type="fixed"/>
              <w:tblCellMar>
                <w:top w:w="0" w:type="dxa"/>
                <w:left w:w="108" w:type="dxa"/>
                <w:bottom w:w="0" w:type="dxa"/>
                <w:right w:w="108" w:type="dxa"/>
              </w:tblCellMar>
            </w:tblPr>
            <w:tblGrid>
              <w:gridCol w:w="3946"/>
            </w:tblGrid>
            <w:tr w14:paraId="29AB74A3">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0BF5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412C1786">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7169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6D369D57">
            <w:pPr>
              <w:widowControl/>
              <w:jc w:val="left"/>
              <w:rPr>
                <w:rFonts w:ascii="Times New Roman" w:hAnsi="Times New Roman" w:eastAsia="仿宋_GB2312" w:cs="Times New Roman"/>
                <w:color w:val="000000"/>
                <w:kern w:val="0"/>
                <w:szCs w:val="20"/>
              </w:rPr>
            </w:pPr>
          </w:p>
          <w:tbl>
            <w:tblPr>
              <w:tblStyle w:val="13"/>
              <w:tblW w:w="3946" w:type="dxa"/>
              <w:tblInd w:w="0" w:type="dxa"/>
              <w:tblLayout w:type="fixed"/>
              <w:tblCellMar>
                <w:top w:w="0" w:type="dxa"/>
                <w:left w:w="108" w:type="dxa"/>
                <w:bottom w:w="0" w:type="dxa"/>
                <w:right w:w="108" w:type="dxa"/>
              </w:tblCellMar>
            </w:tblPr>
            <w:tblGrid>
              <w:gridCol w:w="3946"/>
            </w:tblGrid>
            <w:tr w14:paraId="17191670">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2EEC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69E75843">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041D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448E06D5">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132B36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67B725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9B80C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52DCB8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1276" w:type="dxa"/>
            <w:tcBorders>
              <w:top w:val="nil"/>
              <w:left w:val="nil"/>
              <w:bottom w:val="single" w:color="auto" w:sz="4" w:space="0"/>
              <w:right w:val="single" w:color="auto" w:sz="4" w:space="0"/>
            </w:tcBorders>
            <w:shd w:val="clear" w:color="auto" w:fill="auto"/>
            <w:noWrap/>
            <w:vAlign w:val="center"/>
          </w:tcPr>
          <w:p w14:paraId="0AA9744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14:paraId="7F8E37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1639" w:type="dxa"/>
            <w:tcBorders>
              <w:top w:val="nil"/>
              <w:left w:val="nil"/>
              <w:bottom w:val="single" w:color="auto" w:sz="4" w:space="0"/>
              <w:right w:val="single" w:color="auto" w:sz="4" w:space="0"/>
            </w:tcBorders>
            <w:shd w:val="clear" w:color="auto" w:fill="auto"/>
            <w:noWrap/>
            <w:vAlign w:val="center"/>
          </w:tcPr>
          <w:p w14:paraId="56C3F6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60D54A5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3.84 </w:t>
            </w:r>
          </w:p>
        </w:tc>
        <w:tc>
          <w:tcPr>
            <w:tcW w:w="1217" w:type="dxa"/>
            <w:tcBorders>
              <w:top w:val="nil"/>
              <w:left w:val="nil"/>
              <w:bottom w:val="single" w:color="auto" w:sz="4" w:space="0"/>
              <w:right w:val="single" w:color="auto" w:sz="4" w:space="0"/>
            </w:tcBorders>
            <w:shd w:val="clear" w:color="auto" w:fill="auto"/>
            <w:noWrap/>
            <w:vAlign w:val="center"/>
          </w:tcPr>
          <w:p w14:paraId="752526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36ACAD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52533C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694643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22EF0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03EA5B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1276" w:type="dxa"/>
            <w:tcBorders>
              <w:top w:val="nil"/>
              <w:left w:val="nil"/>
              <w:bottom w:val="single" w:color="auto" w:sz="4" w:space="0"/>
              <w:right w:val="single" w:color="auto" w:sz="4" w:space="0"/>
            </w:tcBorders>
            <w:shd w:val="clear" w:color="auto" w:fill="auto"/>
            <w:noWrap/>
            <w:vAlign w:val="center"/>
          </w:tcPr>
          <w:p w14:paraId="2B1F64E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14:paraId="52A5BA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1639" w:type="dxa"/>
            <w:tcBorders>
              <w:top w:val="nil"/>
              <w:left w:val="nil"/>
              <w:bottom w:val="single" w:color="auto" w:sz="4" w:space="0"/>
              <w:right w:val="single" w:color="auto" w:sz="4" w:space="0"/>
            </w:tcBorders>
            <w:shd w:val="clear" w:color="auto" w:fill="auto"/>
            <w:noWrap/>
            <w:vAlign w:val="center"/>
          </w:tcPr>
          <w:p w14:paraId="1607B8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46F1ADB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9.11 </w:t>
            </w:r>
          </w:p>
        </w:tc>
        <w:tc>
          <w:tcPr>
            <w:tcW w:w="1217" w:type="dxa"/>
            <w:tcBorders>
              <w:top w:val="nil"/>
              <w:left w:val="nil"/>
              <w:bottom w:val="single" w:color="auto" w:sz="4" w:space="0"/>
              <w:right w:val="single" w:color="auto" w:sz="4" w:space="0"/>
            </w:tcBorders>
            <w:shd w:val="clear" w:color="auto" w:fill="auto"/>
            <w:noWrap/>
            <w:vAlign w:val="center"/>
          </w:tcPr>
          <w:p w14:paraId="139E2A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722900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696FB9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26C5C2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26DC4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59048C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1276" w:type="dxa"/>
            <w:tcBorders>
              <w:top w:val="nil"/>
              <w:left w:val="nil"/>
              <w:bottom w:val="single" w:color="auto" w:sz="4" w:space="0"/>
              <w:right w:val="single" w:color="auto" w:sz="4" w:space="0"/>
            </w:tcBorders>
            <w:shd w:val="clear" w:color="auto" w:fill="auto"/>
            <w:noWrap/>
            <w:vAlign w:val="center"/>
          </w:tcPr>
          <w:p w14:paraId="647E2A0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14:paraId="4E7C8E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1639" w:type="dxa"/>
            <w:tcBorders>
              <w:top w:val="nil"/>
              <w:left w:val="nil"/>
              <w:bottom w:val="single" w:color="auto" w:sz="4" w:space="0"/>
              <w:right w:val="single" w:color="auto" w:sz="4" w:space="0"/>
            </w:tcBorders>
            <w:shd w:val="clear" w:color="auto" w:fill="auto"/>
            <w:noWrap/>
            <w:vAlign w:val="center"/>
          </w:tcPr>
          <w:p w14:paraId="568723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3CF8518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16196BE9">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2525A784">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785AAB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5F1415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8F4B9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66C0E3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76" w:type="dxa"/>
            <w:tcBorders>
              <w:top w:val="nil"/>
              <w:left w:val="nil"/>
              <w:bottom w:val="single" w:color="auto" w:sz="4" w:space="0"/>
              <w:right w:val="single" w:color="auto" w:sz="4" w:space="0"/>
            </w:tcBorders>
            <w:shd w:val="clear" w:color="auto" w:fill="auto"/>
            <w:noWrap/>
            <w:vAlign w:val="center"/>
          </w:tcPr>
          <w:p w14:paraId="4EFAEB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85" w:type="dxa"/>
            <w:tcBorders>
              <w:top w:val="nil"/>
              <w:left w:val="nil"/>
              <w:bottom w:val="single" w:color="auto" w:sz="4" w:space="0"/>
              <w:right w:val="single" w:color="auto" w:sz="4" w:space="0"/>
            </w:tcBorders>
            <w:shd w:val="clear" w:color="auto" w:fill="auto"/>
            <w:noWrap/>
            <w:vAlign w:val="center"/>
          </w:tcPr>
          <w:p w14:paraId="352367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1639" w:type="dxa"/>
            <w:tcBorders>
              <w:top w:val="nil"/>
              <w:left w:val="nil"/>
              <w:bottom w:val="single" w:color="auto" w:sz="4" w:space="0"/>
              <w:right w:val="single" w:color="auto" w:sz="4" w:space="0"/>
            </w:tcBorders>
            <w:shd w:val="clear" w:color="auto" w:fill="auto"/>
            <w:noWrap/>
            <w:vAlign w:val="center"/>
          </w:tcPr>
          <w:p w14:paraId="1D06B8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A47039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54.44 </w:t>
            </w:r>
          </w:p>
        </w:tc>
        <w:tc>
          <w:tcPr>
            <w:tcW w:w="1217" w:type="dxa"/>
            <w:tcBorders>
              <w:top w:val="nil"/>
              <w:left w:val="nil"/>
              <w:bottom w:val="single" w:color="auto" w:sz="4" w:space="0"/>
              <w:right w:val="single" w:color="auto" w:sz="4" w:space="0"/>
            </w:tcBorders>
            <w:shd w:val="clear" w:color="auto" w:fill="auto"/>
            <w:noWrap/>
            <w:vAlign w:val="center"/>
          </w:tcPr>
          <w:p w14:paraId="735950A4">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583330DE">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5EA87C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CD21D20">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558B939">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1276" w:type="dxa"/>
            <w:tcBorders>
              <w:top w:val="nil"/>
              <w:left w:val="nil"/>
              <w:bottom w:val="single" w:color="auto" w:sz="4" w:space="0"/>
              <w:right w:val="single" w:color="auto" w:sz="4" w:space="0"/>
            </w:tcBorders>
            <w:shd w:val="clear" w:color="auto" w:fill="auto"/>
            <w:noWrap/>
            <w:vAlign w:val="center"/>
          </w:tcPr>
          <w:p w14:paraId="61FB8FA7">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2398.95</w:t>
            </w:r>
          </w:p>
        </w:tc>
        <w:tc>
          <w:tcPr>
            <w:tcW w:w="8491" w:type="dxa"/>
            <w:gridSpan w:val="5"/>
            <w:tcBorders>
              <w:top w:val="single" w:color="auto" w:sz="4" w:space="0"/>
              <w:left w:val="nil"/>
              <w:bottom w:val="single" w:color="auto" w:sz="4" w:space="0"/>
              <w:right w:val="single" w:color="auto" w:sz="4" w:space="0"/>
            </w:tcBorders>
            <w:shd w:val="clear" w:color="auto" w:fill="auto"/>
            <w:noWrap/>
            <w:vAlign w:val="center"/>
          </w:tcPr>
          <w:p w14:paraId="4F43CE68">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369EE591">
            <w:pPr>
              <w:widowControl/>
              <w:jc w:val="left"/>
              <w:rPr>
                <w:rFonts w:hint="default" w:ascii="Times New Roman" w:hAnsi="Times New Roman" w:eastAsia="仿宋_GB2312" w:cs="Times New Roman"/>
                <w:color w:val="000000"/>
                <w:kern w:val="0"/>
                <w:szCs w:val="18"/>
                <w:lang w:val="en-US" w:eastAsia="zh-CN"/>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lang w:val="en-US" w:eastAsia="zh-CN"/>
              </w:rPr>
              <w:t>296.8</w:t>
            </w:r>
          </w:p>
        </w:tc>
      </w:tr>
    </w:tbl>
    <w:p w14:paraId="5EE8EE1E">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30C2520D">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4AF90CF8">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4A6AF170">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44AE56A0">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3"/>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4BF5E895">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C83E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20"/>
                <w:rFonts w:hint="default" w:ascii="Times New Roman" w:hAnsi="Times New Roman" w:eastAsia="仿宋_GB2312" w:cs="Times New Roman"/>
                <w:b/>
                <w:bCs/>
                <w:lang w:bidi="ar"/>
              </w:rPr>
              <w:t xml:space="preserve">   </w:t>
            </w:r>
            <w:r>
              <w:rPr>
                <w:rStyle w:val="21"/>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A1200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EB42A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2BF40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28C1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2E39524C">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C71E0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D2510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B5E4D">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09D20">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E8817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D64E5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DC20C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F3664">
            <w:pPr>
              <w:widowControl/>
              <w:jc w:val="center"/>
              <w:rPr>
                <w:rFonts w:ascii="Times New Roman" w:hAnsi="Times New Roman" w:eastAsia="仿宋_GB2312" w:cs="Times New Roman"/>
                <w:color w:val="000000"/>
                <w:sz w:val="24"/>
                <w:szCs w:val="24"/>
              </w:rPr>
            </w:pPr>
          </w:p>
        </w:tc>
      </w:tr>
      <w:tr w14:paraId="315E84EC">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6B4BD">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BFD37">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0CDFC">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35AC0">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18257">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9C1F3">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76659">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C48D9">
            <w:pPr>
              <w:jc w:val="center"/>
              <w:rPr>
                <w:rFonts w:ascii="Times New Roman" w:hAnsi="Times New Roman" w:eastAsia="仿宋_GB2312" w:cs="Times New Roman"/>
                <w:color w:val="000000"/>
                <w:sz w:val="24"/>
                <w:szCs w:val="24"/>
              </w:rPr>
            </w:pPr>
          </w:p>
        </w:tc>
      </w:tr>
      <w:tr w14:paraId="58BA4D06">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55483">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0E33D">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88AD8">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274E6">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D73EE">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AE2BA">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AC436">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F17D8">
            <w:pPr>
              <w:jc w:val="center"/>
              <w:rPr>
                <w:rFonts w:ascii="Times New Roman" w:hAnsi="Times New Roman" w:eastAsia="仿宋_GB2312" w:cs="Times New Roman"/>
                <w:color w:val="000000"/>
                <w:sz w:val="24"/>
                <w:szCs w:val="24"/>
              </w:rPr>
            </w:pPr>
          </w:p>
        </w:tc>
      </w:tr>
      <w:tr w14:paraId="4AD7761C">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27E5F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D015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379C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CC16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654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E98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5027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349722F5">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2A028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4EF5E">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78971">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AD70D">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43B04">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83AA8">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E667">
            <w:pPr>
              <w:jc w:val="center"/>
              <w:rPr>
                <w:rFonts w:ascii="Times New Roman" w:hAnsi="Times New Roman" w:eastAsia="仿宋_GB2312" w:cs="Times New Roman"/>
                <w:color w:val="000000"/>
                <w:sz w:val="24"/>
                <w:szCs w:val="24"/>
              </w:rPr>
            </w:pPr>
          </w:p>
        </w:tc>
      </w:tr>
      <w:tr w14:paraId="632C04F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5F8EA">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D2721">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F2A0D">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D090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B978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BBA8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853B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0E0E7">
            <w:pPr>
              <w:rPr>
                <w:rFonts w:ascii="Times New Roman" w:hAnsi="Times New Roman" w:eastAsia="仿宋_GB2312" w:cs="Times New Roman"/>
                <w:color w:val="000000"/>
                <w:sz w:val="24"/>
                <w:szCs w:val="24"/>
              </w:rPr>
            </w:pPr>
          </w:p>
        </w:tc>
      </w:tr>
      <w:tr w14:paraId="48A95414">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DE715">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7B64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74166">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0630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3166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7917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EBAD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E59A6">
            <w:pPr>
              <w:rPr>
                <w:rFonts w:ascii="Times New Roman" w:hAnsi="Times New Roman" w:eastAsia="仿宋_GB2312" w:cs="Times New Roman"/>
                <w:color w:val="000000"/>
                <w:sz w:val="24"/>
                <w:szCs w:val="24"/>
              </w:rPr>
            </w:pPr>
          </w:p>
        </w:tc>
      </w:tr>
      <w:tr w14:paraId="455D614D">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58E86">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6C2BB">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33E1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223D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2ABA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FA0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89EA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C9770">
            <w:pPr>
              <w:rPr>
                <w:rFonts w:ascii="Times New Roman" w:hAnsi="Times New Roman" w:eastAsia="仿宋_GB2312" w:cs="Times New Roman"/>
                <w:color w:val="000000"/>
                <w:sz w:val="24"/>
                <w:szCs w:val="24"/>
              </w:rPr>
            </w:pPr>
          </w:p>
        </w:tc>
      </w:tr>
      <w:tr w14:paraId="5C0DF0E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FD4C">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D0AE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F2E2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9A47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2B75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F39E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7097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60D6D">
            <w:pPr>
              <w:rPr>
                <w:rFonts w:ascii="Times New Roman" w:hAnsi="Times New Roman" w:eastAsia="仿宋_GB2312" w:cs="Times New Roman"/>
                <w:color w:val="000000"/>
                <w:sz w:val="24"/>
                <w:szCs w:val="24"/>
              </w:rPr>
            </w:pPr>
          </w:p>
        </w:tc>
      </w:tr>
      <w:tr w14:paraId="25D459E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9EB8A">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BFC6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963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F6AB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C8B9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D3C2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AE7C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D8F89">
            <w:pPr>
              <w:rPr>
                <w:rFonts w:ascii="Times New Roman" w:hAnsi="Times New Roman" w:eastAsia="仿宋_GB2312" w:cs="Times New Roman"/>
                <w:color w:val="000000"/>
                <w:sz w:val="24"/>
                <w:szCs w:val="24"/>
              </w:rPr>
            </w:pPr>
          </w:p>
        </w:tc>
      </w:tr>
      <w:tr w14:paraId="2E32B51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14548">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BBFC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1E5F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EB93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9B8FC">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38A4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97AB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279ED">
            <w:pPr>
              <w:rPr>
                <w:rFonts w:ascii="Times New Roman" w:hAnsi="Times New Roman" w:eastAsia="仿宋_GB2312" w:cs="Times New Roman"/>
                <w:color w:val="000000"/>
                <w:sz w:val="24"/>
                <w:szCs w:val="24"/>
              </w:rPr>
            </w:pPr>
          </w:p>
        </w:tc>
      </w:tr>
    </w:tbl>
    <w:p w14:paraId="712EA924">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60EDD498">
      <w:pPr>
        <w:widowControl/>
        <w:jc w:val="left"/>
        <w:textAlignment w:val="center"/>
        <w:rPr>
          <w:rFonts w:ascii="Times New Roman" w:hAnsi="Times New Roman" w:eastAsia="仿宋_GB2312" w:cs="Times New Roman"/>
          <w:color w:val="000000"/>
          <w:kern w:val="0"/>
          <w:sz w:val="24"/>
          <w:szCs w:val="24"/>
          <w:lang w:bidi="ar"/>
        </w:rPr>
      </w:pPr>
    </w:p>
    <w:p w14:paraId="26DBABFC">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634E4C5C">
      <w:pPr>
        <w:widowControl/>
        <w:jc w:val="center"/>
        <w:rPr>
          <w:rFonts w:ascii="Times New Roman" w:hAnsi="Times New Roman" w:eastAsia="方正小标宋_GBK" w:cs="Times New Roman"/>
          <w:color w:val="000000"/>
          <w:kern w:val="0"/>
          <w:sz w:val="36"/>
          <w:szCs w:val="36"/>
        </w:rPr>
      </w:pPr>
    </w:p>
    <w:p w14:paraId="3F41B5C9">
      <w:pPr>
        <w:widowControl/>
        <w:spacing w:line="400" w:lineRule="exact"/>
        <w:textAlignment w:val="center"/>
        <w:rPr>
          <w:rFonts w:ascii="Times New Roman" w:hAnsi="Times New Roman" w:eastAsia="黑体" w:cs="Times New Roman"/>
          <w:color w:val="000000"/>
          <w:kern w:val="0"/>
          <w:sz w:val="36"/>
          <w:szCs w:val="36"/>
          <w:lang w:bidi="ar"/>
        </w:rPr>
      </w:pPr>
    </w:p>
    <w:p w14:paraId="21FEA57F">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5A7D8FEB">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266786B8">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3"/>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08046AE8">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5B22F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22"/>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801E8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651A1B42">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589B2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F3E2A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549B6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A4CB6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D3E8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7A4DAFAB">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68E8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B1EC8">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CC31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A5D0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2D9D5">
            <w:pPr>
              <w:jc w:val="center"/>
              <w:rPr>
                <w:rFonts w:ascii="Times New Roman" w:hAnsi="Times New Roman" w:eastAsia="仿宋_GB2312" w:cs="Times New Roman"/>
                <w:color w:val="000000"/>
                <w:sz w:val="24"/>
                <w:szCs w:val="24"/>
              </w:rPr>
            </w:pPr>
          </w:p>
        </w:tc>
      </w:tr>
      <w:tr w14:paraId="481FAAA6">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66F2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6AD32">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25AB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8EA2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63148">
            <w:pPr>
              <w:jc w:val="center"/>
              <w:rPr>
                <w:rFonts w:ascii="Times New Roman" w:hAnsi="Times New Roman" w:eastAsia="仿宋_GB2312" w:cs="Times New Roman"/>
                <w:color w:val="000000"/>
                <w:sz w:val="24"/>
                <w:szCs w:val="24"/>
              </w:rPr>
            </w:pPr>
          </w:p>
        </w:tc>
      </w:tr>
      <w:tr w14:paraId="0BE0467E">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FF99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2111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785C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7D60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760D2B61">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7784F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A6B8C">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0DB92">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70EEE">
            <w:pPr>
              <w:jc w:val="center"/>
              <w:rPr>
                <w:rFonts w:ascii="Times New Roman" w:hAnsi="Times New Roman" w:eastAsia="仿宋_GB2312" w:cs="Times New Roman"/>
                <w:color w:val="000000"/>
                <w:sz w:val="24"/>
                <w:szCs w:val="24"/>
              </w:rPr>
            </w:pPr>
          </w:p>
        </w:tc>
      </w:tr>
      <w:tr w14:paraId="3E95FD87">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631B4">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BD32D">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4E0DE">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4D37C">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5ACF7">
            <w:pPr>
              <w:rPr>
                <w:rFonts w:ascii="Times New Roman" w:hAnsi="Times New Roman" w:eastAsia="仿宋_GB2312" w:cs="Times New Roman"/>
                <w:color w:val="000000"/>
                <w:sz w:val="24"/>
                <w:szCs w:val="24"/>
              </w:rPr>
            </w:pPr>
          </w:p>
        </w:tc>
      </w:tr>
      <w:tr w14:paraId="464BA86A">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CE47D">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D0907">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70B0F">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2EB7B">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ECD6A">
            <w:pPr>
              <w:rPr>
                <w:rFonts w:ascii="Times New Roman" w:hAnsi="Times New Roman" w:eastAsia="仿宋_GB2312" w:cs="Times New Roman"/>
                <w:color w:val="000000"/>
                <w:sz w:val="24"/>
                <w:szCs w:val="24"/>
              </w:rPr>
            </w:pPr>
          </w:p>
        </w:tc>
      </w:tr>
      <w:tr w14:paraId="00FFC8E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7A789">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59078">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6547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5945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D5DC9">
            <w:pPr>
              <w:rPr>
                <w:rFonts w:ascii="Times New Roman" w:hAnsi="Times New Roman" w:eastAsia="宋体" w:cs="Times New Roman"/>
                <w:color w:val="000000"/>
                <w:sz w:val="24"/>
                <w:szCs w:val="24"/>
              </w:rPr>
            </w:pPr>
          </w:p>
        </w:tc>
      </w:tr>
      <w:tr w14:paraId="7DCCE09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6DA40">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2CA43">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FF9D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C261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0DDF5">
            <w:pPr>
              <w:rPr>
                <w:rFonts w:ascii="Times New Roman" w:hAnsi="Times New Roman" w:eastAsia="宋体" w:cs="Times New Roman"/>
                <w:color w:val="000000"/>
                <w:sz w:val="24"/>
                <w:szCs w:val="24"/>
              </w:rPr>
            </w:pPr>
          </w:p>
        </w:tc>
      </w:tr>
      <w:tr w14:paraId="342600D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D76D9">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FD082">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8B1D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E2C6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9A5C1">
            <w:pPr>
              <w:rPr>
                <w:rFonts w:ascii="Times New Roman" w:hAnsi="Times New Roman" w:eastAsia="宋体" w:cs="Times New Roman"/>
                <w:color w:val="000000"/>
                <w:sz w:val="24"/>
                <w:szCs w:val="24"/>
              </w:rPr>
            </w:pPr>
          </w:p>
        </w:tc>
      </w:tr>
      <w:tr w14:paraId="6843416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8C1C1">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CE4E9">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DB07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6E8E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6B26A">
            <w:pPr>
              <w:rPr>
                <w:rFonts w:ascii="Times New Roman" w:hAnsi="Times New Roman" w:eastAsia="宋体" w:cs="Times New Roman"/>
                <w:color w:val="000000"/>
                <w:sz w:val="24"/>
                <w:szCs w:val="24"/>
              </w:rPr>
            </w:pPr>
          </w:p>
        </w:tc>
      </w:tr>
    </w:tbl>
    <w:p w14:paraId="08B4C667">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1EFB607E">
      <w:pPr>
        <w:widowControl/>
        <w:jc w:val="left"/>
        <w:textAlignment w:val="center"/>
        <w:rPr>
          <w:rFonts w:ascii="Times New Roman" w:hAnsi="Times New Roman" w:eastAsia="宋体" w:cs="Times New Roman"/>
          <w:color w:val="000000"/>
          <w:kern w:val="0"/>
          <w:sz w:val="24"/>
          <w:szCs w:val="24"/>
          <w:lang w:bidi="ar"/>
        </w:rPr>
      </w:pPr>
    </w:p>
    <w:p w14:paraId="02DC1E5A">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2D854A23">
      <w:pPr>
        <w:widowControl/>
        <w:jc w:val="center"/>
        <w:rPr>
          <w:rFonts w:ascii="Times New Roman" w:hAnsi="Times New Roman" w:eastAsia="方正小标宋_GBK" w:cs="Times New Roman"/>
          <w:color w:val="000000"/>
          <w:kern w:val="0"/>
          <w:sz w:val="36"/>
          <w:szCs w:val="36"/>
        </w:rPr>
      </w:pPr>
    </w:p>
    <w:p w14:paraId="01BB3077">
      <w:pPr>
        <w:pStyle w:val="11"/>
        <w:spacing w:line="400" w:lineRule="exact"/>
        <w:rPr>
          <w:rFonts w:ascii="Times New Roman" w:hAnsi="Times New Roman" w:eastAsia="华文中宋" w:cs="Times New Roman"/>
          <w:color w:val="000000"/>
          <w:kern w:val="0"/>
          <w:sz w:val="32"/>
          <w:szCs w:val="32"/>
          <w:lang w:bidi="ar"/>
        </w:rPr>
      </w:pPr>
    </w:p>
    <w:p w14:paraId="014BE4DD">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5B0E2C76">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74091C04">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13"/>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2113DCDD">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12D21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FEABC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356ABB5F">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927E2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4C032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D88F5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E9A81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09DEF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5DD9D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6D36E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F629C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4744C42D">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D70C9">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894A6">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BC7B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A961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4112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9BB7C">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EF216">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86FD7">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CC00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B6A3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9938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AD976">
            <w:pPr>
              <w:jc w:val="center"/>
              <w:rPr>
                <w:rFonts w:ascii="Times New Roman" w:hAnsi="Times New Roman" w:eastAsia="仿宋_GB2312" w:cs="Times New Roman"/>
                <w:color w:val="000000"/>
                <w:sz w:val="22"/>
              </w:rPr>
            </w:pPr>
          </w:p>
        </w:tc>
      </w:tr>
      <w:tr w14:paraId="5EEBB168">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26A0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FF89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1C57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322F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82DC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DBA7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FEC3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F239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E4C2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7E04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8BFF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2566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51F858E1">
        <w:tblPrEx>
          <w:tblCellMar>
            <w:top w:w="0" w:type="dxa"/>
            <w:left w:w="108" w:type="dxa"/>
            <w:bottom w:w="0" w:type="dxa"/>
            <w:right w:w="108" w:type="dxa"/>
          </w:tblCellMar>
        </w:tblPrEx>
        <w:trPr>
          <w:trHeight w:val="579"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B048">
            <w:pPr>
              <w:keepNext w:val="0"/>
              <w:keepLines w:val="0"/>
              <w:widowControl/>
              <w:suppressLineNumbers w:val="0"/>
              <w:jc w:val="center"/>
              <w:textAlignment w:val="center"/>
              <w:rPr>
                <w:rFonts w:hint="default" w:ascii="Times New Roman" w:hAnsi="Times New Roman" w:eastAsia="仿宋_GB2312" w:cs="Times New Roman"/>
                <w:color w:val="000000"/>
                <w:sz w:val="22"/>
                <w:lang w:val="en-US"/>
              </w:rPr>
            </w:pPr>
            <w:r>
              <w:rPr>
                <w:rFonts w:hint="eastAsia" w:ascii="宋体" w:hAnsi="宋体" w:eastAsia="宋体" w:cs="宋体"/>
                <w:i w:val="0"/>
                <w:iCs w:val="0"/>
                <w:color w:val="000000"/>
                <w:kern w:val="0"/>
                <w:sz w:val="22"/>
                <w:szCs w:val="22"/>
                <w:u w:val="none"/>
                <w:lang w:val="en-US" w:eastAsia="zh-CN" w:bidi="ar"/>
              </w:rPr>
              <w:t>31.5</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C1EF6">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2A55">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CE00F">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97329">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E04D4">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27.50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27AA2">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17.60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7A520">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23292">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7.84</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FCFE8">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4990A">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7.84</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966E">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9.76</w:t>
            </w:r>
          </w:p>
        </w:tc>
      </w:tr>
    </w:tbl>
    <w:p w14:paraId="0812AA7F">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78A245F4">
      <w:pPr>
        <w:autoSpaceDE w:val="0"/>
        <w:autoSpaceDN w:val="0"/>
        <w:adjustRightInd w:val="0"/>
        <w:ind w:left="315" w:leftChars="150"/>
        <w:jc w:val="left"/>
        <w:rPr>
          <w:rFonts w:ascii="Times New Roman" w:hAnsi="Times New Roman" w:eastAsia="宋体" w:cs="Times New Roman"/>
          <w:kern w:val="0"/>
          <w:sz w:val="24"/>
          <w:szCs w:val="24"/>
        </w:rPr>
      </w:pPr>
    </w:p>
    <w:p w14:paraId="784B90AE">
      <w:pPr>
        <w:autoSpaceDE w:val="0"/>
        <w:autoSpaceDN w:val="0"/>
        <w:adjustRightInd w:val="0"/>
        <w:ind w:left="315" w:leftChars="150"/>
        <w:jc w:val="left"/>
        <w:rPr>
          <w:rFonts w:ascii="Times New Roman" w:hAnsi="Times New Roman" w:eastAsia="宋体" w:cs="Times New Roman"/>
          <w:kern w:val="0"/>
          <w:sz w:val="24"/>
          <w:szCs w:val="24"/>
        </w:rPr>
      </w:pPr>
    </w:p>
    <w:p w14:paraId="50A156AC">
      <w:pPr>
        <w:autoSpaceDE w:val="0"/>
        <w:autoSpaceDN w:val="0"/>
        <w:adjustRightInd w:val="0"/>
        <w:ind w:left="315" w:leftChars="150"/>
        <w:jc w:val="left"/>
        <w:rPr>
          <w:rFonts w:ascii="Times New Roman" w:hAnsi="Times New Roman" w:eastAsia="宋体" w:cs="Times New Roman"/>
          <w:kern w:val="0"/>
          <w:sz w:val="24"/>
          <w:szCs w:val="24"/>
        </w:rPr>
      </w:pPr>
    </w:p>
    <w:p w14:paraId="7FE2D6A6">
      <w:pPr>
        <w:autoSpaceDE w:val="0"/>
        <w:autoSpaceDN w:val="0"/>
        <w:adjustRightInd w:val="0"/>
        <w:ind w:left="315" w:leftChars="150"/>
        <w:jc w:val="left"/>
        <w:rPr>
          <w:rFonts w:ascii="Times New Roman" w:hAnsi="Times New Roman" w:eastAsia="宋体" w:cs="Times New Roman"/>
          <w:kern w:val="0"/>
          <w:sz w:val="24"/>
          <w:szCs w:val="24"/>
        </w:rPr>
      </w:pPr>
    </w:p>
    <w:p w14:paraId="53EEA6AB">
      <w:pPr>
        <w:autoSpaceDE w:val="0"/>
        <w:autoSpaceDN w:val="0"/>
        <w:adjustRightInd w:val="0"/>
        <w:ind w:left="315" w:leftChars="150"/>
        <w:jc w:val="left"/>
        <w:rPr>
          <w:rFonts w:ascii="Times New Roman" w:hAnsi="Times New Roman" w:eastAsia="宋体" w:cs="Times New Roman"/>
          <w:kern w:val="0"/>
          <w:sz w:val="24"/>
          <w:szCs w:val="24"/>
        </w:rPr>
      </w:pPr>
    </w:p>
    <w:p w14:paraId="76F25F4A">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0CA44F32">
      <w:pPr>
        <w:pStyle w:val="17"/>
        <w:rPr>
          <w:rFonts w:ascii="Times New Roman" w:hAnsi="Times New Roman" w:cs="Times New Roman"/>
          <w:sz w:val="72"/>
          <w:szCs w:val="72"/>
        </w:rPr>
      </w:pPr>
    </w:p>
    <w:p w14:paraId="0F50C620">
      <w:pPr>
        <w:pStyle w:val="17"/>
        <w:rPr>
          <w:rFonts w:ascii="Times New Roman" w:hAnsi="Times New Roman" w:cs="Times New Roman"/>
          <w:sz w:val="72"/>
          <w:szCs w:val="72"/>
        </w:rPr>
      </w:pPr>
    </w:p>
    <w:p w14:paraId="64197103">
      <w:pPr>
        <w:pStyle w:val="17"/>
        <w:rPr>
          <w:rFonts w:ascii="Times New Roman" w:hAnsi="Times New Roman" w:cs="Times New Roman"/>
          <w:sz w:val="72"/>
          <w:szCs w:val="72"/>
        </w:rPr>
      </w:pPr>
    </w:p>
    <w:p w14:paraId="6094864C">
      <w:pPr>
        <w:pStyle w:val="17"/>
        <w:jc w:val="center"/>
        <w:rPr>
          <w:rFonts w:ascii="Times New Roman" w:hAnsi="Times New Roman" w:cs="Times New Roman"/>
          <w:sz w:val="72"/>
          <w:szCs w:val="72"/>
        </w:rPr>
      </w:pPr>
    </w:p>
    <w:p w14:paraId="0278F9F3">
      <w:pPr>
        <w:pStyle w:val="17"/>
        <w:jc w:val="center"/>
        <w:rPr>
          <w:rFonts w:ascii="Times New Roman" w:hAnsi="Times New Roman" w:eastAsia="方正小标宋_GBK" w:cs="Times New Roman"/>
          <w:sz w:val="72"/>
          <w:szCs w:val="72"/>
        </w:rPr>
      </w:pPr>
    </w:p>
    <w:p w14:paraId="4B21A38A">
      <w:pPr>
        <w:pStyle w:val="17"/>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226978BF">
      <w:pPr>
        <w:pStyle w:val="17"/>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40FCF06F">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003B529B">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4921B3F0">
      <w:pPr>
        <w:pStyle w:val="17"/>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4820.39</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3974.3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45.18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上年度</w:t>
      </w:r>
      <w:r>
        <w:rPr>
          <w:rFonts w:hint="eastAsia" w:ascii="Times New Roman" w:hAnsi="Times New Roman" w:eastAsia="仿宋_GB2312" w:cs="Times New Roman"/>
          <w:sz w:val="32"/>
          <w:szCs w:val="32"/>
          <w:lang w:eastAsia="zh-CN"/>
        </w:rPr>
        <w:t>支出</w:t>
      </w:r>
      <w:r>
        <w:rPr>
          <w:rFonts w:hint="eastAsia" w:ascii="Times New Roman" w:hAnsi="Times New Roman" w:eastAsia="仿宋_GB2312" w:cs="Times New Roman"/>
          <w:sz w:val="32"/>
          <w:szCs w:val="32"/>
        </w:rPr>
        <w:t>含专项资金</w:t>
      </w:r>
      <w:r>
        <w:rPr>
          <w:rFonts w:hint="eastAsia" w:ascii="Times New Roman" w:hAnsi="Times New Roman" w:eastAsia="仿宋_GB2312" w:cs="Times New Roman"/>
          <w:sz w:val="32"/>
          <w:szCs w:val="32"/>
          <w:lang w:eastAsia="zh-CN"/>
        </w:rPr>
        <w:t>。</w:t>
      </w:r>
    </w:p>
    <w:p w14:paraId="11ABB6F5">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113BA5B8">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4820.39</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4820.39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585B0DC6">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046D643C">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w:t>
      </w:r>
      <w:r>
        <w:rPr>
          <w:rFonts w:hint="eastAsia" w:ascii="Times New Roman" w:hAnsi="Times New Roman" w:eastAsia="仿宋_GB2312" w:cs="Times New Roman"/>
          <w:sz w:val="32"/>
          <w:szCs w:val="32"/>
          <w:lang w:val="en-US" w:eastAsia="zh-CN"/>
        </w:rPr>
        <w:t>4820.39</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2695.75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55.92</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2124.64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54.92</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3E8FFA50">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312FF533">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4820.39</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3974.3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45.18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上年度</w:t>
      </w:r>
      <w:r>
        <w:rPr>
          <w:rFonts w:hint="eastAsia" w:ascii="Times New Roman" w:hAnsi="Times New Roman" w:eastAsia="仿宋_GB2312" w:cs="Times New Roman"/>
          <w:sz w:val="32"/>
          <w:szCs w:val="32"/>
          <w:lang w:eastAsia="zh-CN"/>
        </w:rPr>
        <w:t>支出</w:t>
      </w:r>
      <w:r>
        <w:rPr>
          <w:rFonts w:hint="eastAsia" w:ascii="Times New Roman" w:hAnsi="Times New Roman" w:eastAsia="仿宋_GB2312" w:cs="Times New Roman"/>
          <w:sz w:val="32"/>
          <w:szCs w:val="32"/>
        </w:rPr>
        <w:t>含专项资金</w:t>
      </w:r>
      <w:r>
        <w:rPr>
          <w:rFonts w:hint="eastAsia" w:ascii="Times New Roman" w:hAnsi="Times New Roman" w:eastAsia="仿宋_GB2312" w:cs="Times New Roman"/>
          <w:sz w:val="32"/>
          <w:szCs w:val="32"/>
          <w:lang w:eastAsia="zh-CN"/>
        </w:rPr>
        <w:t>。</w:t>
      </w:r>
    </w:p>
    <w:p w14:paraId="1B9BC8A1">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01CDB97F">
      <w:pPr>
        <w:pStyle w:val="17"/>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38A06FCC">
      <w:pPr>
        <w:pStyle w:val="17"/>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4820.39</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7B27A5AE">
      <w:pPr>
        <w:pStyle w:val="17"/>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24D5F10C">
      <w:pPr>
        <w:pStyle w:val="17"/>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4820.39</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9.5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文化旅游体育与传媒支出</w:t>
      </w:r>
      <w:r>
        <w:rPr>
          <w:rFonts w:hint="eastAsia" w:ascii="Times New Roman" w:hAnsi="Times New Roman" w:eastAsia="仿宋_GB2312" w:cs="Times New Roman"/>
          <w:sz w:val="32"/>
          <w:szCs w:val="32"/>
          <w:lang w:val="en-US" w:eastAsia="zh-CN"/>
        </w:rPr>
        <w:t>0.89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hint="eastAsia" w:ascii="Times New Roman" w:hAnsi="Times New Roman" w:eastAsia="仿宋_GB2312" w:cs="Times New Roman"/>
          <w:sz w:val="32"/>
          <w:szCs w:val="32"/>
          <w:lang w:val="en-US" w:eastAsia="zh-CN"/>
        </w:rPr>
        <w:t>178.62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3.70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；卫生健康支出</w:t>
      </w:r>
      <w:r>
        <w:rPr>
          <w:rFonts w:hint="eastAsia" w:ascii="Times New Roman" w:hAnsi="Times New Roman" w:eastAsia="仿宋_GB2312" w:cs="Times New Roman"/>
          <w:sz w:val="32"/>
          <w:szCs w:val="32"/>
          <w:lang w:val="en-US" w:eastAsia="zh-CN"/>
        </w:rPr>
        <w:t>32.78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0.68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；城乡社区支出</w:t>
      </w:r>
      <w:r>
        <w:rPr>
          <w:rFonts w:hint="eastAsia" w:ascii="Times New Roman" w:hAnsi="Times New Roman" w:eastAsia="仿宋_GB2312" w:cs="Times New Roman"/>
          <w:sz w:val="32"/>
          <w:szCs w:val="32"/>
          <w:lang w:val="en-US" w:eastAsia="zh-CN"/>
        </w:rPr>
        <w:t>0.58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0.012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；农林水支出</w:t>
      </w:r>
      <w:r>
        <w:rPr>
          <w:rFonts w:hint="eastAsia" w:ascii="Times New Roman" w:hAnsi="Times New Roman" w:eastAsia="仿宋_GB2312" w:cs="Times New Roman"/>
          <w:sz w:val="32"/>
          <w:szCs w:val="32"/>
          <w:lang w:val="en-US" w:eastAsia="zh-CN"/>
        </w:rPr>
        <w:t>4542.38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93.368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；其他支出</w:t>
      </w:r>
      <w:r>
        <w:rPr>
          <w:rFonts w:hint="eastAsia" w:ascii="Times New Roman" w:hAnsi="Times New Roman" w:eastAsia="仿宋_GB2312" w:cs="Times New Roman"/>
          <w:sz w:val="32"/>
          <w:szCs w:val="32"/>
          <w:lang w:val="en-US" w:eastAsia="zh-CN"/>
        </w:rPr>
        <w:t>55.64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1.15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4CC42DEF">
      <w:pPr>
        <w:pStyle w:val="17"/>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1E64CE87">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4820.39</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4820.39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w:t>
      </w:r>
    </w:p>
    <w:p w14:paraId="1CB0F3F5">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p>
    <w:p w14:paraId="148267DF">
      <w:pPr>
        <w:pStyle w:val="17"/>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9.5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14:paraId="559FCABF">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文化旅游体育与传媒支出</w:t>
      </w:r>
      <w:r>
        <w:rPr>
          <w:rFonts w:ascii="Times New Roman" w:hAnsi="Times New Roman" w:eastAsia="仿宋_GB2312" w:cs="Times New Roman"/>
          <w:sz w:val="32"/>
          <w:szCs w:val="32"/>
        </w:rPr>
        <w:t>。</w:t>
      </w:r>
    </w:p>
    <w:p w14:paraId="470AD711">
      <w:pPr>
        <w:pStyle w:val="17"/>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0.89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0.89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14:paraId="76624B80">
      <w:pPr>
        <w:pStyle w:val="17"/>
        <w:numPr>
          <w:ilvl w:val="0"/>
          <w:numId w:val="1"/>
        </w:numPr>
        <w:overflowPunct w:val="0"/>
        <w:autoSpaceDE/>
        <w:autoSpaceDN/>
        <w:spacing w:line="600" w:lineRule="exact"/>
        <w:ind w:left="-10" w:leftChars="0" w:firstLine="640" w:firstLineChars="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社会保障和就业支出</w:t>
      </w:r>
      <w:r>
        <w:rPr>
          <w:rFonts w:hint="eastAsia" w:ascii="Times New Roman" w:hAnsi="Times New Roman" w:eastAsia="仿宋_GB2312" w:cs="Times New Roman"/>
          <w:sz w:val="32"/>
          <w:szCs w:val="32"/>
          <w:lang w:eastAsia="zh-CN"/>
        </w:rPr>
        <w:t>。</w:t>
      </w:r>
    </w:p>
    <w:p w14:paraId="6DEB44BB">
      <w:pPr>
        <w:pStyle w:val="17"/>
        <w:overflowPunct w:val="0"/>
        <w:autoSpaceDE/>
        <w:autoSpaceDN/>
        <w:spacing w:line="600" w:lineRule="exact"/>
        <w:ind w:firstLine="320" w:firstLineChars="1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178.62</w:t>
      </w:r>
      <w:r>
        <w:rPr>
          <w:rFonts w:ascii="Times New Roman" w:hAnsi="Times New Roman" w:eastAsia="仿宋_GB2312" w:cs="Times New Roman"/>
          <w:sz w:val="32"/>
          <w:szCs w:val="32"/>
        </w:rPr>
        <w:t>万元，支出决算</w:t>
      </w:r>
      <w:r>
        <w:rPr>
          <w:rFonts w:hint="eastAsia" w:ascii="Times New Roman" w:hAnsi="Times New Roman" w:eastAsia="仿宋_GB2312" w:cs="Times New Roman"/>
          <w:sz w:val="32"/>
          <w:szCs w:val="32"/>
          <w:lang w:val="en-US" w:eastAsia="zh-CN"/>
        </w:rPr>
        <w:t>178.62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14:paraId="297DB3A0">
      <w:pPr>
        <w:pStyle w:val="17"/>
        <w:numPr>
          <w:ilvl w:val="0"/>
          <w:numId w:val="1"/>
        </w:numPr>
        <w:overflowPunct w:val="0"/>
        <w:autoSpaceDE/>
        <w:autoSpaceDN/>
        <w:spacing w:line="600" w:lineRule="exact"/>
        <w:ind w:left="-10" w:leftChars="0" w:firstLine="640" w:firstLineChars="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卫生健康支出。</w:t>
      </w:r>
    </w:p>
    <w:p w14:paraId="2A3155A8">
      <w:pPr>
        <w:pStyle w:val="17"/>
        <w:overflowPunct w:val="0"/>
        <w:autoSpaceDE/>
        <w:autoSpaceDN/>
        <w:spacing w:line="600" w:lineRule="exact"/>
        <w:ind w:firstLine="320" w:firstLineChars="1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32.78</w:t>
      </w:r>
      <w:r>
        <w:rPr>
          <w:rFonts w:ascii="Times New Roman" w:hAnsi="Times New Roman" w:eastAsia="仿宋_GB2312" w:cs="Times New Roman"/>
          <w:sz w:val="32"/>
          <w:szCs w:val="32"/>
        </w:rPr>
        <w:t>万元，支出决算</w:t>
      </w:r>
      <w:r>
        <w:rPr>
          <w:rFonts w:hint="eastAsia" w:ascii="Times New Roman" w:hAnsi="Times New Roman" w:eastAsia="仿宋_GB2312" w:cs="Times New Roman"/>
          <w:sz w:val="32"/>
          <w:szCs w:val="32"/>
          <w:lang w:val="en-US" w:eastAsia="zh-CN"/>
        </w:rPr>
        <w:t>32.78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14:paraId="23A4F5F1">
      <w:pPr>
        <w:pStyle w:val="17"/>
        <w:numPr>
          <w:ilvl w:val="0"/>
          <w:numId w:val="1"/>
        </w:numPr>
        <w:overflowPunct w:val="0"/>
        <w:autoSpaceDE/>
        <w:autoSpaceDN/>
        <w:spacing w:line="600" w:lineRule="exact"/>
        <w:ind w:left="-10" w:leftChars="0" w:firstLine="640" w:firstLineChars="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城乡社区支出。</w:t>
      </w:r>
    </w:p>
    <w:p w14:paraId="11923A59">
      <w:pPr>
        <w:pStyle w:val="17"/>
        <w:overflowPunct w:val="0"/>
        <w:autoSpaceDE/>
        <w:autoSpaceDN/>
        <w:spacing w:line="600" w:lineRule="exact"/>
        <w:ind w:firstLine="320" w:firstLineChars="1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0.58</w:t>
      </w:r>
      <w:r>
        <w:rPr>
          <w:rFonts w:ascii="Times New Roman" w:hAnsi="Times New Roman" w:eastAsia="仿宋_GB2312" w:cs="Times New Roman"/>
          <w:sz w:val="32"/>
          <w:szCs w:val="32"/>
        </w:rPr>
        <w:t>万元，支出决算</w:t>
      </w:r>
      <w:r>
        <w:rPr>
          <w:rFonts w:hint="eastAsia" w:ascii="Times New Roman" w:hAnsi="Times New Roman" w:eastAsia="仿宋_GB2312" w:cs="Times New Roman"/>
          <w:sz w:val="32"/>
          <w:szCs w:val="32"/>
          <w:lang w:val="en-US" w:eastAsia="zh-CN"/>
        </w:rPr>
        <w:t>0.58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14:paraId="38CE3BA4">
      <w:pPr>
        <w:pStyle w:val="17"/>
        <w:numPr>
          <w:ilvl w:val="0"/>
          <w:numId w:val="1"/>
        </w:numPr>
        <w:overflowPunct w:val="0"/>
        <w:autoSpaceDE/>
        <w:autoSpaceDN/>
        <w:spacing w:line="600" w:lineRule="exact"/>
        <w:ind w:left="-10" w:leftChars="0" w:firstLine="640" w:firstLineChars="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农林水支出。</w:t>
      </w:r>
    </w:p>
    <w:p w14:paraId="24B74933">
      <w:pPr>
        <w:pStyle w:val="17"/>
        <w:overflowPunct w:val="0"/>
        <w:autoSpaceDE/>
        <w:autoSpaceDN/>
        <w:spacing w:line="600" w:lineRule="exact"/>
        <w:ind w:firstLine="320" w:firstLineChars="1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4542.38</w:t>
      </w:r>
      <w:r>
        <w:rPr>
          <w:rFonts w:ascii="Times New Roman" w:hAnsi="Times New Roman" w:eastAsia="仿宋_GB2312" w:cs="Times New Roman"/>
          <w:sz w:val="32"/>
          <w:szCs w:val="32"/>
        </w:rPr>
        <w:t>万元，支出决算</w:t>
      </w:r>
      <w:r>
        <w:rPr>
          <w:rFonts w:hint="eastAsia" w:ascii="Times New Roman" w:hAnsi="Times New Roman" w:eastAsia="仿宋_GB2312" w:cs="Times New Roman"/>
          <w:sz w:val="32"/>
          <w:szCs w:val="32"/>
          <w:lang w:val="en-US" w:eastAsia="zh-CN"/>
        </w:rPr>
        <w:t>4542.38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14:paraId="37B39ED3">
      <w:pPr>
        <w:pStyle w:val="17"/>
        <w:numPr>
          <w:ilvl w:val="0"/>
          <w:numId w:val="1"/>
        </w:numPr>
        <w:overflowPunct w:val="0"/>
        <w:autoSpaceDE/>
        <w:autoSpaceDN/>
        <w:spacing w:line="600" w:lineRule="exact"/>
        <w:ind w:left="-10" w:leftChars="0" w:firstLine="640" w:firstLineChars="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其他支出</w:t>
      </w:r>
      <w:r>
        <w:rPr>
          <w:rFonts w:hint="eastAsia" w:ascii="Times New Roman" w:hAnsi="Times New Roman" w:eastAsia="仿宋_GB2312" w:cs="Times New Roman"/>
          <w:sz w:val="32"/>
          <w:szCs w:val="32"/>
          <w:lang w:val="en-US" w:eastAsia="zh-CN"/>
        </w:rPr>
        <w:t xml:space="preserve"> </w:t>
      </w:r>
    </w:p>
    <w:p w14:paraId="1FB8A200">
      <w:pPr>
        <w:pStyle w:val="17"/>
        <w:numPr>
          <w:ilvl w:val="0"/>
          <w:numId w:val="0"/>
        </w:numPr>
        <w:overflowPunct w:val="0"/>
        <w:autoSpaceDE/>
        <w:autoSpaceDN/>
        <w:spacing w:line="600" w:lineRule="exact"/>
        <w:ind w:left="630" w:leftChars="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55.64</w:t>
      </w:r>
      <w:r>
        <w:rPr>
          <w:rFonts w:ascii="Times New Roman" w:hAnsi="Times New Roman" w:eastAsia="仿宋_GB2312" w:cs="Times New Roman"/>
          <w:sz w:val="32"/>
          <w:szCs w:val="32"/>
        </w:rPr>
        <w:t>万元，支出决算</w:t>
      </w:r>
      <w:r>
        <w:rPr>
          <w:rFonts w:hint="eastAsia" w:ascii="Times New Roman" w:hAnsi="Times New Roman" w:eastAsia="仿宋_GB2312" w:cs="Times New Roman"/>
          <w:sz w:val="32"/>
          <w:szCs w:val="32"/>
          <w:lang w:val="en-US" w:eastAsia="zh-CN"/>
        </w:rPr>
        <w:t>455.64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0259081D">
      <w:pPr>
        <w:pStyle w:val="17"/>
        <w:numPr>
          <w:ilvl w:val="0"/>
          <w:numId w:val="0"/>
        </w:numPr>
        <w:overflowPunct w:val="0"/>
        <w:autoSpaceDE/>
        <w:autoSpaceDN/>
        <w:spacing w:line="600" w:lineRule="exact"/>
        <w:jc w:val="both"/>
        <w:rPr>
          <w:rFonts w:hint="default" w:ascii="Times New Roman" w:hAnsi="Times New Roman" w:eastAsia="仿宋_GB2312" w:cs="Times New Roman"/>
          <w:sz w:val="32"/>
          <w:szCs w:val="32"/>
          <w:lang w:val="en-US" w:eastAsia="zh-CN"/>
        </w:rPr>
      </w:pPr>
    </w:p>
    <w:p w14:paraId="2CFD8800">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5E5E4253">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4820.39</w:t>
      </w:r>
      <w:r>
        <w:rPr>
          <w:rFonts w:ascii="Times New Roman" w:hAnsi="Times New Roman" w:eastAsia="仿宋_GB2312" w:cs="Times New Roman"/>
          <w:sz w:val="32"/>
          <w:szCs w:val="32"/>
        </w:rPr>
        <w:t>万元，其中：</w:t>
      </w:r>
    </w:p>
    <w:p w14:paraId="1055F201">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2398.96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49.76</w:t>
      </w:r>
      <w:r>
        <w:rPr>
          <w:rFonts w:ascii="Times New Roman" w:hAnsi="Times New Roman" w:eastAsia="仿宋_GB2312" w:cs="Times New Roman"/>
          <w:sz w:val="32"/>
          <w:szCs w:val="32"/>
        </w:rPr>
        <w:t>%,主要包括基本工资、津贴补贴、奖金、伙食补助费。</w:t>
      </w:r>
    </w:p>
    <w:p w14:paraId="5B59E61B">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296.79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6.16</w:t>
      </w:r>
      <w:r>
        <w:rPr>
          <w:rFonts w:ascii="Times New Roman" w:hAnsi="Times New Roman" w:eastAsia="仿宋_GB2312" w:cs="Times New Roman"/>
          <w:sz w:val="32"/>
          <w:szCs w:val="32"/>
        </w:rPr>
        <w:t>%，主要包括办公费、印刷费、咨询费、手续费。</w:t>
      </w:r>
    </w:p>
    <w:p w14:paraId="45B59638">
      <w:pPr>
        <w:pStyle w:val="17"/>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5B31721A">
      <w:pPr>
        <w:pStyle w:val="17"/>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0DEF645">
      <w:pPr>
        <w:pStyle w:val="17"/>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31.5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55.87</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8.98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eastAsia="zh-CN"/>
        </w:rPr>
        <w:t>：上年公务接待支出今年走单</w:t>
      </w:r>
      <w:r>
        <w:rPr>
          <w:rFonts w:ascii="Times New Roman" w:hAnsi="Times New Roman" w:eastAsia="仿宋_GB2312" w:cs="Times New Roman"/>
          <w:sz w:val="32"/>
          <w:szCs w:val="32"/>
        </w:rPr>
        <w:t>。</w:t>
      </w:r>
    </w:p>
    <w:p w14:paraId="79D184A2">
      <w:pPr>
        <w:pStyle w:val="17"/>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418317CD">
      <w:pPr>
        <w:pStyle w:val="17"/>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7A69B763">
      <w:pPr>
        <w:pStyle w:val="17"/>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7.836</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2.096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26.74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原因</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2024年因候鸟保护购入执法车，导致</w:t>
      </w:r>
      <w:r>
        <w:rPr>
          <w:rFonts w:ascii="Times New Roman" w:hAnsi="Times New Roman" w:eastAsia="仿宋_GB2312" w:cs="Times New Roman"/>
          <w:sz w:val="32"/>
          <w:szCs w:val="32"/>
        </w:rPr>
        <w:t>公务用车购置费及运行维护费支出</w:t>
      </w:r>
      <w:r>
        <w:rPr>
          <w:rFonts w:hint="eastAsia" w:ascii="Times New Roman" w:hAnsi="Times New Roman" w:eastAsia="仿宋_GB2312" w:cs="Times New Roman"/>
          <w:sz w:val="32"/>
          <w:szCs w:val="32"/>
          <w:lang w:eastAsia="zh-CN"/>
        </w:rPr>
        <w:t>超预算。</w:t>
      </w:r>
    </w:p>
    <w:p w14:paraId="2C43C1BD">
      <w:pPr>
        <w:pStyle w:val="17"/>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27.5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9.76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35.49</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1.14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11.68</w:t>
      </w:r>
      <w:r>
        <w:rPr>
          <w:rFonts w:ascii="Times New Roman" w:hAnsi="Times New Roman" w:eastAsia="仿宋_GB2312" w:cs="Times New Roman"/>
          <w:sz w:val="32"/>
          <w:szCs w:val="32"/>
        </w:rPr>
        <w:t>%。</w:t>
      </w:r>
      <w:r>
        <w:rPr>
          <w:rFonts w:ascii="Times New Roman" w:hAnsi="Times New Roman" w:eastAsia="仿宋_GB2312" w:cs="Times New Roman"/>
          <w:color w:val="auto"/>
          <w:sz w:val="32"/>
          <w:szCs w:val="32"/>
          <w:u w:val="none"/>
        </w:rPr>
        <w:t>全年共接待来访团组</w:t>
      </w:r>
      <w:r>
        <w:rPr>
          <w:rFonts w:hint="eastAsia" w:ascii="Times New Roman" w:hAnsi="Times New Roman" w:eastAsia="仿宋_GB2312" w:cs="Times New Roman"/>
          <w:color w:val="auto"/>
          <w:sz w:val="32"/>
          <w:szCs w:val="32"/>
          <w:u w:val="none"/>
          <w:lang w:val="en-US" w:eastAsia="zh-CN"/>
        </w:rPr>
        <w:t>116</w:t>
      </w:r>
      <w:r>
        <w:rPr>
          <w:rFonts w:ascii="Times New Roman" w:hAnsi="Times New Roman" w:eastAsia="仿宋_GB2312" w:cs="Times New Roman"/>
          <w:color w:val="auto"/>
          <w:sz w:val="32"/>
          <w:szCs w:val="32"/>
          <w:u w:val="none"/>
        </w:rPr>
        <w:t>个、来宾</w:t>
      </w:r>
      <w:r>
        <w:rPr>
          <w:rFonts w:hint="eastAsia" w:ascii="Times New Roman" w:hAnsi="Times New Roman" w:eastAsia="仿宋_GB2312" w:cs="Times New Roman"/>
          <w:color w:val="auto"/>
          <w:sz w:val="32"/>
          <w:szCs w:val="32"/>
          <w:u w:val="none"/>
          <w:lang w:val="en-US" w:eastAsia="zh-CN"/>
        </w:rPr>
        <w:t>610</w:t>
      </w:r>
      <w:r>
        <w:rPr>
          <w:rFonts w:ascii="Times New Roman" w:hAnsi="Times New Roman" w:eastAsia="仿宋_GB2312" w:cs="Times New Roman"/>
          <w:color w:val="auto"/>
          <w:sz w:val="32"/>
          <w:szCs w:val="32"/>
          <w:u w:val="none"/>
        </w:rPr>
        <w:t>人次，主要是</w:t>
      </w:r>
      <w:r>
        <w:rPr>
          <w:rFonts w:hint="eastAsia" w:ascii="仿宋_GB2312" w:hAnsi="仿宋_GB2312" w:eastAsia="仿宋_GB2312" w:cs="仿宋_GB2312"/>
          <w:sz w:val="32"/>
          <w:szCs w:val="32"/>
          <w:u w:val="none"/>
        </w:rPr>
        <w:t>上级项目检查、邀请专业技术力量发生的接待支出</w:t>
      </w:r>
      <w:r>
        <w:rPr>
          <w:rFonts w:ascii="Times New Roman" w:hAnsi="Times New Roman" w:eastAsia="仿宋_GB2312" w:cs="Times New Roman"/>
          <w:color w:val="auto"/>
          <w:sz w:val="32"/>
          <w:szCs w:val="32"/>
          <w:u w:val="none"/>
        </w:rPr>
        <w:t>。</w:t>
      </w:r>
    </w:p>
    <w:p w14:paraId="5E237E8B">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5038B6A1">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22E3520D">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1263D222">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296.79</w:t>
      </w:r>
      <w:r>
        <w:rPr>
          <w:rFonts w:ascii="Times New Roman" w:hAnsi="Times New Roman" w:eastAsia="仿宋_GB2312" w:cs="Times New Roman"/>
          <w:sz w:val="32"/>
          <w:szCs w:val="32"/>
        </w:rPr>
        <w:t>万元，比上年决算数增加</w:t>
      </w:r>
      <w:r>
        <w:rPr>
          <w:rFonts w:hint="eastAsia" w:ascii="Times New Roman" w:hAnsi="Times New Roman" w:eastAsia="仿宋_GB2312" w:cs="Times New Roman"/>
          <w:sz w:val="32"/>
          <w:szCs w:val="32"/>
          <w:lang w:val="en-US" w:eastAsia="zh-CN"/>
        </w:rPr>
        <w:t>22.95</w:t>
      </w:r>
      <w:r>
        <w:rPr>
          <w:rFonts w:ascii="Times New Roman" w:hAnsi="Times New Roman" w:eastAsia="仿宋_GB2312" w:cs="Times New Roman"/>
          <w:sz w:val="32"/>
          <w:szCs w:val="32"/>
        </w:rPr>
        <w:t xml:space="preserve"> 万元，增长</w:t>
      </w:r>
      <w:r>
        <w:rPr>
          <w:rFonts w:hint="eastAsia" w:ascii="Times New Roman" w:hAnsi="Times New Roman" w:eastAsia="仿宋_GB2312" w:cs="Times New Roman"/>
          <w:sz w:val="32"/>
          <w:szCs w:val="32"/>
          <w:lang w:val="en-US" w:eastAsia="zh-CN"/>
        </w:rPr>
        <w:t>7.73</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eastAsia="zh-CN"/>
        </w:rPr>
        <w:t>办公费用等增加</w:t>
      </w:r>
      <w:r>
        <w:rPr>
          <w:rFonts w:ascii="Times New Roman" w:hAnsi="Times New Roman" w:eastAsia="仿宋_GB2312" w:cs="Times New Roman"/>
          <w:sz w:val="32"/>
          <w:szCs w:val="32"/>
        </w:rPr>
        <w:t>。</w:t>
      </w:r>
    </w:p>
    <w:p w14:paraId="08DFE86A">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430D69E2">
      <w:pPr>
        <w:pStyle w:val="17"/>
        <w:overflowPunct w:val="0"/>
        <w:autoSpaceDE/>
        <w:autoSpaceDN/>
        <w:spacing w:line="600" w:lineRule="exact"/>
        <w:ind w:firstLine="640" w:firstLineChars="200"/>
        <w:jc w:val="both"/>
        <w:rPr>
          <w:rFonts w:hint="eastAsia" w:ascii="Times New Roman" w:hAnsi="Times New Roman" w:eastAsia="仿宋_GB2312" w:cs="Times New Roman"/>
          <w:kern w:val="0"/>
          <w:sz w:val="32"/>
          <w:szCs w:val="32"/>
          <w:u w:val="none"/>
          <w:lang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0.8</w:t>
      </w:r>
      <w:r>
        <w:rPr>
          <w:rFonts w:ascii="Times New Roman" w:hAnsi="Times New Roman" w:eastAsia="仿宋_GB2312" w:cs="Times New Roman"/>
          <w:sz w:val="32"/>
          <w:szCs w:val="32"/>
        </w:rPr>
        <w:t>万元，</w:t>
      </w:r>
      <w:r>
        <w:rPr>
          <w:rFonts w:eastAsia="仿宋_GB2312"/>
          <w:kern w:val="0"/>
          <w:sz w:val="32"/>
          <w:szCs w:val="32"/>
          <w:u w:val="none"/>
        </w:rPr>
        <w:t>用于召开</w:t>
      </w:r>
      <w:r>
        <w:rPr>
          <w:rFonts w:hint="eastAsia" w:eastAsia="仿宋_GB2312"/>
          <w:kern w:val="0"/>
          <w:sz w:val="32"/>
          <w:szCs w:val="32"/>
          <w:lang w:val="en-US" w:eastAsia="zh-CN"/>
        </w:rPr>
        <w:t>2次会议</w:t>
      </w:r>
      <w:r>
        <w:rPr>
          <w:rFonts w:eastAsia="仿宋_GB2312"/>
          <w:kern w:val="0"/>
          <w:sz w:val="32"/>
          <w:szCs w:val="32"/>
          <w:u w:val="none"/>
        </w:rPr>
        <w:t>，人数</w:t>
      </w:r>
      <w:r>
        <w:rPr>
          <w:rFonts w:hint="eastAsia" w:eastAsia="仿宋_GB2312"/>
          <w:sz w:val="32"/>
          <w:szCs w:val="32"/>
          <w:u w:val="none"/>
          <w:lang w:val="en-US" w:eastAsia="zh-CN"/>
        </w:rPr>
        <w:t>260</w:t>
      </w:r>
      <w:r>
        <w:rPr>
          <w:rFonts w:eastAsia="仿宋_GB2312"/>
          <w:kern w:val="0"/>
          <w:sz w:val="32"/>
          <w:szCs w:val="32"/>
          <w:u w:val="none"/>
        </w:rPr>
        <w:t>人，内容为</w:t>
      </w:r>
      <w:r>
        <w:rPr>
          <w:rFonts w:hint="eastAsia" w:eastAsia="仿宋_GB2312"/>
          <w:kern w:val="0"/>
          <w:sz w:val="32"/>
          <w:szCs w:val="32"/>
          <w:u w:val="none"/>
          <w:lang w:eastAsia="zh-CN"/>
        </w:rPr>
        <w:t>林长制培训工作会议用水等</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0.07</w:t>
      </w:r>
      <w:r>
        <w:rPr>
          <w:rFonts w:ascii="Times New Roman" w:hAnsi="Times New Roman" w:eastAsia="仿宋_GB2312" w:cs="Times New Roman"/>
          <w:sz w:val="32"/>
          <w:szCs w:val="32"/>
        </w:rPr>
        <w:t>万元，</w:t>
      </w:r>
      <w:r>
        <w:rPr>
          <w:rFonts w:eastAsia="仿宋_GB2312"/>
          <w:kern w:val="0"/>
          <w:sz w:val="32"/>
          <w:szCs w:val="32"/>
          <w:u w:val="none"/>
        </w:rPr>
        <w:t>用于开展</w:t>
      </w:r>
      <w:r>
        <w:rPr>
          <w:rFonts w:hint="eastAsia" w:eastAsia="仿宋_GB2312"/>
          <w:kern w:val="0"/>
          <w:sz w:val="32"/>
          <w:szCs w:val="32"/>
          <w:u w:val="none"/>
          <w:lang w:val="en-US" w:eastAsia="zh-CN"/>
        </w:rPr>
        <w:t>1次</w:t>
      </w:r>
      <w:r>
        <w:rPr>
          <w:rFonts w:eastAsia="仿宋_GB2312"/>
          <w:kern w:val="0"/>
          <w:sz w:val="32"/>
          <w:szCs w:val="32"/>
        </w:rPr>
        <w:t>培训</w:t>
      </w:r>
      <w:r>
        <w:rPr>
          <w:rFonts w:eastAsia="仿宋_GB2312"/>
          <w:kern w:val="0"/>
          <w:sz w:val="32"/>
          <w:szCs w:val="32"/>
          <w:u w:val="none"/>
        </w:rPr>
        <w:t>，人数</w:t>
      </w:r>
      <w:r>
        <w:rPr>
          <w:rFonts w:hint="eastAsia" w:eastAsia="仿宋_GB2312"/>
          <w:sz w:val="32"/>
          <w:szCs w:val="32"/>
          <w:u w:val="none"/>
          <w:lang w:val="en-US" w:eastAsia="zh-CN"/>
        </w:rPr>
        <w:t>1</w:t>
      </w:r>
      <w:r>
        <w:rPr>
          <w:rFonts w:eastAsia="仿宋_GB2312"/>
          <w:kern w:val="0"/>
          <w:sz w:val="32"/>
          <w:szCs w:val="32"/>
          <w:u w:val="none"/>
        </w:rPr>
        <w:t>人，内容</w:t>
      </w:r>
      <w:r>
        <w:rPr>
          <w:rFonts w:eastAsia="仿宋_GB2312"/>
          <w:color w:val="auto"/>
          <w:kern w:val="0"/>
          <w:sz w:val="32"/>
          <w:szCs w:val="32"/>
          <w:highlight w:val="none"/>
          <w:u w:val="none"/>
        </w:rPr>
        <w:t>为</w:t>
      </w:r>
      <w:r>
        <w:rPr>
          <w:rFonts w:hint="eastAsia" w:eastAsia="仿宋_GB2312"/>
          <w:color w:val="auto"/>
          <w:kern w:val="0"/>
          <w:sz w:val="32"/>
          <w:szCs w:val="32"/>
          <w:highlight w:val="none"/>
          <w:u w:val="none"/>
          <w:lang w:eastAsia="zh-CN"/>
        </w:rPr>
        <w:t>职工</w:t>
      </w:r>
      <w:r>
        <w:rPr>
          <w:rFonts w:hint="eastAsia" w:ascii="Times New Roman" w:hAnsi="Times New Roman" w:eastAsia="仿宋_GB2312" w:cs="Times New Roman"/>
          <w:color w:val="auto"/>
          <w:kern w:val="0"/>
          <w:sz w:val="32"/>
          <w:szCs w:val="32"/>
          <w:highlight w:val="none"/>
          <w:u w:val="none"/>
          <w:lang w:eastAsia="zh-CN"/>
        </w:rPr>
        <w:t>出差培训费。</w:t>
      </w:r>
    </w:p>
    <w:p w14:paraId="6CE59B75">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22944903">
      <w:pPr>
        <w:pStyle w:val="17"/>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629.12</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38.61</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9.23</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581.28</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289.59</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46.03</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289.59</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14:paraId="13B56E88">
      <w:pPr>
        <w:pStyle w:val="17"/>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07160276">
      <w:pPr>
        <w:pStyle w:val="17"/>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685FB9F2">
      <w:pPr>
        <w:pStyle w:val="17"/>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7407AF64">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372</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372</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5.64</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sz w:val="32"/>
          <w:szCs w:val="32"/>
          <w:lang w:eastAsia="zh-CN"/>
        </w:rPr>
        <w:t>护林员工资</w:t>
      </w:r>
      <w:r>
        <w:rPr>
          <w:rFonts w:ascii="Times New Roman" w:hAnsi="Times New Roman" w:eastAsia="仿宋_GB2312" w:cs="Times New Roman"/>
          <w:kern w:val="0"/>
          <w:sz w:val="32"/>
          <w:szCs w:val="32"/>
        </w:rPr>
        <w:t>”“</w:t>
      </w:r>
      <w:r>
        <w:rPr>
          <w:rFonts w:hint="eastAsia" w:ascii="Times New Roman" w:hAnsi="Times New Roman" w:eastAsia="仿宋_GB2312" w:cs="Times New Roman"/>
          <w:sz w:val="32"/>
          <w:szCs w:val="32"/>
          <w:lang w:eastAsia="zh-CN"/>
        </w:rPr>
        <w:t>候鸟保护</w:t>
      </w:r>
      <w:r>
        <w:rPr>
          <w:rFonts w:ascii="Times New Roman" w:hAnsi="Times New Roman" w:eastAsia="仿宋_GB2312" w:cs="Times New Roman"/>
          <w:kern w:val="0"/>
          <w:sz w:val="32"/>
          <w:szCs w:val="32"/>
        </w:rPr>
        <w:t>”等</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kern w:val="0"/>
          <w:sz w:val="32"/>
          <w:szCs w:val="32"/>
          <w:lang w:val="en-US" w:eastAsia="zh-CN"/>
        </w:rPr>
        <w:t>3</w:t>
      </w:r>
      <w:r>
        <w:rPr>
          <w:rFonts w:hint="eastAsia" w:ascii="Times New Roman" w:hAnsi="Times New Roman" w:eastAsia="仿宋_GB2312" w:cs="Times New Roman"/>
          <w:sz w:val="32"/>
          <w:szCs w:val="32"/>
          <w:lang w:val="en-US" w:eastAsia="zh-CN"/>
        </w:rPr>
        <w:t>72</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val="en-US" w:eastAsia="zh-CN"/>
        </w:rPr>
        <w:t>372</w:t>
      </w:r>
      <w:r>
        <w:rPr>
          <w:rFonts w:ascii="Times New Roman" w:hAnsi="Times New Roman" w:eastAsia="仿宋_GB2312" w:cs="Times New Roman"/>
          <w:kern w:val="0"/>
          <w:sz w:val="32"/>
          <w:szCs w:val="32"/>
        </w:rPr>
        <w:t>万元。</w:t>
      </w:r>
    </w:p>
    <w:p w14:paraId="1A25BD2C">
      <w:pPr>
        <w:pStyle w:val="12"/>
        <w:numPr>
          <w:ilvl w:val="0"/>
          <w:numId w:val="0"/>
        </w:numPr>
        <w:ind w:firstLine="420" w:firstLineChars="0"/>
        <w:rPr>
          <w:rFonts w:hint="eastAsia" w:eastAsia="仿宋_GB2312" w:cs="Times New Roman"/>
          <w:sz w:val="32"/>
          <w:szCs w:val="32"/>
          <w:lang w:eastAsia="zh-CN"/>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rPr>
        <w:t>4895.13</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4820.39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98.38</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98.4</w:t>
      </w:r>
      <w:r>
        <w:rPr>
          <w:rFonts w:ascii="Times New Roman" w:hAnsi="Times New Roman" w:eastAsia="仿宋_GB2312" w:cs="Times New Roman"/>
          <w:sz w:val="32"/>
          <w:szCs w:val="32"/>
        </w:rPr>
        <w:t>分。绩效目标完成情况</w:t>
      </w:r>
      <w:r>
        <w:rPr>
          <w:rFonts w:hint="eastAsia" w:eastAsia="仿宋_GB2312" w:cs="Times New Roman"/>
          <w:sz w:val="32"/>
          <w:szCs w:val="32"/>
          <w:lang w:eastAsia="zh-CN"/>
        </w:rPr>
        <w:t>及改进措施</w:t>
      </w:r>
      <w:r>
        <w:rPr>
          <w:rFonts w:ascii="Times New Roman" w:hAnsi="Times New Roman" w:eastAsia="仿宋_GB2312" w:cs="Times New Roman"/>
          <w:sz w:val="32"/>
          <w:szCs w:val="32"/>
        </w:rPr>
        <w:t>：</w:t>
      </w:r>
      <w:r>
        <w:rPr>
          <w:rFonts w:hint="eastAsia" w:eastAsia="仿宋_GB2312" w:cs="Times New Roman"/>
          <w:sz w:val="32"/>
          <w:szCs w:val="32"/>
          <w:lang w:eastAsia="zh-CN"/>
        </w:rPr>
        <w:t>绩效目标完成情况良好。</w:t>
      </w:r>
    </w:p>
    <w:p w14:paraId="22F0C4E0">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20" w:firstLineChars="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改进措施：1.推进生态建设。</w:t>
      </w:r>
      <w:r>
        <w:rPr>
          <w:rFonts w:hint="eastAsia" w:ascii="仿宋_GB2312" w:hAnsi="仿宋_GB2312" w:eastAsia="仿宋_GB2312" w:cs="仿宋_GB2312"/>
          <w:kern w:val="2"/>
          <w:sz w:val="32"/>
          <w:szCs w:val="32"/>
          <w:highlight w:val="none"/>
          <w:lang w:val="en-US" w:eastAsia="zh-CN" w:bidi="ar-SA"/>
        </w:rPr>
        <w:t>继续推进国土绿化、退耕还林等生态工程，</w:t>
      </w:r>
      <w:r>
        <w:rPr>
          <w:rFonts w:hint="eastAsia" w:ascii="仿宋_GB2312" w:hAnsi="仿宋_GB2312" w:eastAsia="仿宋_GB2312" w:cs="仿宋_GB2312"/>
          <w:b w:val="0"/>
          <w:bCs w:val="0"/>
          <w:sz w:val="32"/>
          <w:szCs w:val="32"/>
          <w:lang w:val="en-US" w:eastAsia="zh-CN"/>
        </w:rPr>
        <w:t>巩固绿化成果。</w:t>
      </w:r>
      <w:r>
        <w:rPr>
          <w:rFonts w:hint="eastAsia" w:ascii="Times New Roman" w:hAnsi="Times New Roman" w:eastAsia="仿宋_GB2312" w:cs="Times New Roman"/>
          <w:b w:val="0"/>
          <w:bCs w:val="0"/>
          <w:sz w:val="32"/>
          <w:szCs w:val="32"/>
          <w:lang w:val="en-US" w:eastAsia="zh-CN"/>
        </w:rPr>
        <w:t>进一步完善乡村绿化、义务植树管护制度，切实有效巩固乡村绿化、义务植树成果，做到树有人种、种有人管，真正做到种一片，绿一片。紧盯湘江源区生态综合治理项目的扫尾工作，2025年湘江源区生态综合治理项目及国土绿化的申报工作并抓好项目的实施。</w:t>
      </w:r>
    </w:p>
    <w:p w14:paraId="490CF96D">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20" w:firstLineChars="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2.强化生态保护。一是</w:t>
      </w:r>
      <w:r>
        <w:rPr>
          <w:rFonts w:hint="eastAsia" w:ascii="仿宋_GB2312" w:hAnsi="仿宋_GB2312" w:eastAsia="仿宋_GB2312" w:cs="仿宋_GB2312"/>
          <w:kern w:val="2"/>
          <w:sz w:val="32"/>
          <w:szCs w:val="32"/>
          <w:highlight w:val="none"/>
          <w:lang w:val="en-US" w:eastAsia="zh-CN" w:bidi="ar-SA"/>
        </w:rPr>
        <w:t>加强生态保护与修复，提升林业科技创新能力和法治建设水平，建立健全科学的森林防灭火责任网络体系，确保森林防灭火工作落到实处，切实保护好森林资源与人民群众生命财产安全。强化有害生物防控，加强生物多样性保护。2025年完成候鸟科普馆建设；持续深入开展“检视反思、雷霆打击、倾力管护、铁腕正风、强基固本、全民爱鸟”六大专项行动，严厉打击破坏候鸟等野生动植物违法行为；加强林业资源保护管理，确保林业执法工作衔接有序，力度不减。</w:t>
      </w:r>
      <w:r>
        <w:rPr>
          <w:rFonts w:hint="eastAsia" w:ascii="仿宋_GB2312" w:hAnsi="仿宋_GB2312" w:eastAsia="仿宋_GB2312" w:cs="仿宋_GB2312"/>
          <w:b/>
          <w:bCs/>
          <w:kern w:val="2"/>
          <w:sz w:val="32"/>
          <w:szCs w:val="32"/>
          <w:highlight w:val="none"/>
          <w:lang w:val="en-US" w:eastAsia="zh-CN" w:bidi="ar-SA"/>
        </w:rPr>
        <w:t>二是</w:t>
      </w:r>
      <w:r>
        <w:rPr>
          <w:rFonts w:hint="eastAsia" w:ascii="仿宋_GB2312" w:hAnsi="仿宋_GB2312" w:eastAsia="仿宋_GB2312" w:cs="仿宋_GB2312"/>
          <w:kern w:val="2"/>
          <w:sz w:val="32"/>
          <w:szCs w:val="32"/>
          <w:highlight w:val="none"/>
          <w:lang w:val="en-US" w:eastAsia="zh-CN" w:bidi="ar-SA"/>
        </w:rPr>
        <w:t>进一步加强森林防火宣传、森林火灾隐患排查、乡镇防火工作监督和森林消防队伍防灭火能力建设，确保全县无较大以上森林火灾发生。</w:t>
      </w:r>
      <w:r>
        <w:rPr>
          <w:rFonts w:hint="eastAsia" w:ascii="仿宋_GB2312" w:hAnsi="仿宋_GB2312" w:eastAsia="仿宋_GB2312" w:cs="仿宋_GB2312"/>
          <w:b/>
          <w:bCs/>
          <w:kern w:val="2"/>
          <w:sz w:val="32"/>
          <w:szCs w:val="32"/>
          <w:highlight w:val="none"/>
          <w:lang w:val="en-US" w:eastAsia="zh-CN" w:bidi="ar-SA"/>
        </w:rPr>
        <w:t>三是</w:t>
      </w:r>
      <w:r>
        <w:rPr>
          <w:rFonts w:hint="eastAsia" w:ascii="仿宋_GB2312" w:hAnsi="仿宋_GB2312" w:eastAsia="仿宋_GB2312" w:cs="仿宋_GB2312"/>
          <w:b w:val="0"/>
          <w:bCs w:val="0"/>
          <w:kern w:val="2"/>
          <w:sz w:val="32"/>
          <w:szCs w:val="32"/>
          <w:highlight w:val="none"/>
          <w:lang w:val="en-US" w:eastAsia="zh-CN" w:bidi="ar-SA"/>
        </w:rPr>
        <w:t>积极开展森林</w:t>
      </w:r>
      <w:r>
        <w:rPr>
          <w:rFonts w:hint="eastAsia" w:ascii="仿宋_GB2312" w:hAnsi="仿宋_GB2312" w:eastAsia="仿宋_GB2312" w:cs="仿宋_GB2312"/>
          <w:kern w:val="2"/>
          <w:sz w:val="32"/>
          <w:szCs w:val="32"/>
          <w:highlight w:val="none"/>
          <w:lang w:val="en-US" w:eastAsia="zh-CN" w:bidi="ar-SA"/>
        </w:rPr>
        <w:t>督查、图斑监测和专项打击行动，紧紧围绕森林资源监管保护中心工作，牢牢守住生态保护红线，不断提高森林资源管理水平，力保我县森林资源现状排名持续靠前，促进林业生态高质量发展。</w:t>
      </w:r>
    </w:p>
    <w:p w14:paraId="77B492B9">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3.发展生态产业。</w:t>
      </w:r>
      <w:r>
        <w:rPr>
          <w:rFonts w:hint="eastAsia" w:ascii="仿宋_GB2312" w:hAnsi="仿宋_GB2312" w:eastAsia="仿宋_GB2312" w:cs="仿宋_GB2312"/>
          <w:kern w:val="2"/>
          <w:sz w:val="32"/>
          <w:szCs w:val="32"/>
          <w:highlight w:val="none"/>
          <w:lang w:val="en-US" w:eastAsia="zh-CN" w:bidi="ar-SA"/>
        </w:rPr>
        <w:t>大力推行种植油茶等经济树种，积极完成油茶造林3年15000亩、油茶低改3年30000亩的任务。预计永州市油茶示范奖补项目期末，蓝山县项目区油茶亩均年产值5000 元，种植户亩均增收2500 元/年以上，年产值增收0.41亿元，油茶年总产值0.82亿元。结合蓝山实际，做强森林药材、香精香料，做优竹类、苗木花卉、森林景观利用等产业；发挥资源优势，因地制宜发展经济林、林产品加工、“林家乐”和森林旅游等林业特色产业，促进林草产业融合发展，实现“生态美、产业兴、百姓富”发展目标。</w:t>
      </w:r>
    </w:p>
    <w:p w14:paraId="1F1E9C39">
      <w:pPr>
        <w:pStyle w:val="17"/>
        <w:jc w:val="center"/>
        <w:rPr>
          <w:rFonts w:ascii="Times New Roman" w:hAnsi="Times New Roman" w:cs="Times New Roman"/>
          <w:sz w:val="72"/>
          <w:szCs w:val="72"/>
        </w:rPr>
      </w:pPr>
    </w:p>
    <w:p w14:paraId="06AC8405">
      <w:pPr>
        <w:pStyle w:val="17"/>
        <w:jc w:val="center"/>
        <w:rPr>
          <w:rFonts w:ascii="Times New Roman" w:hAnsi="Times New Roman" w:cs="Times New Roman"/>
          <w:sz w:val="72"/>
          <w:szCs w:val="72"/>
        </w:rPr>
      </w:pPr>
    </w:p>
    <w:p w14:paraId="2F0C45B7">
      <w:pPr>
        <w:pStyle w:val="17"/>
        <w:jc w:val="center"/>
        <w:rPr>
          <w:rFonts w:ascii="Times New Roman" w:hAnsi="Times New Roman" w:cs="Times New Roman"/>
          <w:sz w:val="72"/>
          <w:szCs w:val="72"/>
        </w:rPr>
      </w:pPr>
    </w:p>
    <w:p w14:paraId="6BE88D14">
      <w:pPr>
        <w:pStyle w:val="17"/>
        <w:jc w:val="center"/>
        <w:rPr>
          <w:rFonts w:ascii="Times New Roman" w:hAnsi="Times New Roman" w:cs="Times New Roman"/>
          <w:sz w:val="72"/>
          <w:szCs w:val="72"/>
        </w:rPr>
      </w:pPr>
    </w:p>
    <w:p w14:paraId="380F0DB2">
      <w:pPr>
        <w:pStyle w:val="17"/>
        <w:jc w:val="center"/>
        <w:rPr>
          <w:rFonts w:ascii="Times New Roman" w:hAnsi="Times New Roman" w:cs="Times New Roman"/>
          <w:sz w:val="72"/>
          <w:szCs w:val="72"/>
        </w:rPr>
      </w:pPr>
    </w:p>
    <w:p w14:paraId="3A09B994">
      <w:pPr>
        <w:pStyle w:val="17"/>
        <w:jc w:val="center"/>
        <w:rPr>
          <w:rFonts w:ascii="Times New Roman" w:hAnsi="Times New Roman" w:cs="Times New Roman"/>
          <w:sz w:val="72"/>
          <w:szCs w:val="72"/>
        </w:rPr>
      </w:pPr>
    </w:p>
    <w:p w14:paraId="38B6C1ED">
      <w:pPr>
        <w:pStyle w:val="17"/>
        <w:jc w:val="center"/>
        <w:rPr>
          <w:rFonts w:ascii="Times New Roman" w:hAnsi="Times New Roman" w:cs="Times New Roman"/>
          <w:sz w:val="72"/>
          <w:szCs w:val="72"/>
        </w:rPr>
      </w:pPr>
    </w:p>
    <w:p w14:paraId="301DFF21">
      <w:pPr>
        <w:pStyle w:val="17"/>
        <w:jc w:val="center"/>
        <w:rPr>
          <w:rFonts w:ascii="Times New Roman" w:hAnsi="Times New Roman" w:cs="Times New Roman"/>
          <w:sz w:val="72"/>
          <w:szCs w:val="72"/>
        </w:rPr>
      </w:pPr>
    </w:p>
    <w:p w14:paraId="68AB6657">
      <w:pPr>
        <w:pStyle w:val="17"/>
        <w:jc w:val="center"/>
        <w:rPr>
          <w:rFonts w:ascii="Times New Roman" w:hAnsi="Times New Roman" w:cs="Times New Roman"/>
          <w:sz w:val="72"/>
          <w:szCs w:val="72"/>
        </w:rPr>
      </w:pPr>
    </w:p>
    <w:p w14:paraId="4E2362D8">
      <w:pPr>
        <w:pStyle w:val="17"/>
        <w:jc w:val="center"/>
        <w:rPr>
          <w:rFonts w:ascii="Times New Roman" w:hAnsi="Times New Roman" w:cs="Times New Roman"/>
          <w:sz w:val="72"/>
          <w:szCs w:val="72"/>
        </w:rPr>
      </w:pPr>
    </w:p>
    <w:p w14:paraId="30AA29E4">
      <w:pPr>
        <w:pStyle w:val="17"/>
        <w:jc w:val="both"/>
        <w:rPr>
          <w:rFonts w:ascii="Times New Roman" w:hAnsi="Times New Roman" w:cs="Times New Roman"/>
          <w:sz w:val="72"/>
          <w:szCs w:val="72"/>
        </w:rPr>
      </w:pPr>
    </w:p>
    <w:p w14:paraId="581B1DAB">
      <w:pPr>
        <w:pStyle w:val="17"/>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3DC2FDE8">
      <w:pPr>
        <w:widowControl/>
        <w:jc w:val="left"/>
        <w:rPr>
          <w:rFonts w:ascii="Times New Roman" w:hAnsi="Times New Roman" w:cs="Times New Roman"/>
          <w:color w:val="000000"/>
          <w:kern w:val="0"/>
          <w:sz w:val="32"/>
          <w:szCs w:val="32"/>
        </w:rPr>
      </w:pPr>
    </w:p>
    <w:p w14:paraId="51DC0C8A">
      <w:pPr>
        <w:widowControl/>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一、……</w:t>
      </w:r>
    </w:p>
    <w:p w14:paraId="13090862">
      <w:pPr>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二、……</w:t>
      </w:r>
    </w:p>
    <w:p w14:paraId="433A6977">
      <w:pPr>
        <w:ind w:firstLine="640" w:firstLineChars="200"/>
        <w:jc w:val="left"/>
        <w:rPr>
          <w:rFonts w:ascii="Times New Roman" w:hAnsi="Times New Roman" w:cs="Times New Roman"/>
          <w:color w:val="000000"/>
          <w:kern w:val="0"/>
          <w:sz w:val="32"/>
          <w:szCs w:val="32"/>
        </w:rPr>
      </w:pPr>
      <w:r>
        <w:rPr>
          <w:rFonts w:ascii="Times New Roman" w:hAnsi="Times New Roman" w:eastAsia="仿宋_GB2312" w:cs="Times New Roman"/>
          <w:color w:val="000000"/>
          <w:kern w:val="0"/>
          <w:sz w:val="32"/>
          <w:szCs w:val="32"/>
        </w:rPr>
        <w:t>三、…</w:t>
      </w:r>
      <w:r>
        <w:rPr>
          <w:rFonts w:ascii="Times New Roman" w:hAnsi="Times New Roman" w:cs="Times New Roman"/>
          <w:color w:val="000000"/>
          <w:kern w:val="0"/>
          <w:sz w:val="32"/>
          <w:szCs w:val="32"/>
        </w:rPr>
        <w:t>…</w:t>
      </w:r>
    </w:p>
    <w:p w14:paraId="158B69B2">
      <w:pPr>
        <w:pStyle w:val="17"/>
        <w:ind w:firstLine="640" w:firstLineChars="200"/>
        <w:rPr>
          <w:rFonts w:ascii="Times New Roman" w:hAnsi="Times New Roman" w:cs="Times New Roman" w:eastAsiaTheme="minorEastAsia"/>
          <w:sz w:val="32"/>
          <w:szCs w:val="32"/>
        </w:rPr>
      </w:pPr>
      <w:r>
        <w:rPr>
          <w:rFonts w:ascii="Times New Roman" w:hAnsi="Times New Roman" w:cs="Times New Roman" w:eastAsiaTheme="minorEastAsia"/>
          <w:sz w:val="32"/>
          <w:szCs w:val="32"/>
        </w:rPr>
        <w:t>………</w:t>
      </w:r>
    </w:p>
    <w:p w14:paraId="41D1A484">
      <w:pPr>
        <w:pStyle w:val="17"/>
        <w:spacing w:line="600" w:lineRule="exact"/>
        <w:ind w:firstLine="640" w:firstLineChars="200"/>
        <w:rPr>
          <w:rFonts w:ascii="Times New Roman" w:hAnsi="Times New Roman" w:eastAsia="楷体_GB2312" w:cs="Times New Roman"/>
          <w:b/>
          <w:bCs/>
          <w:i/>
          <w:color w:val="auto"/>
          <w:sz w:val="32"/>
          <w:szCs w:val="32"/>
        </w:rPr>
      </w:pPr>
      <w:r>
        <w:rPr>
          <w:rFonts w:ascii="Times New Roman" w:hAnsi="Times New Roman" w:eastAsia="楷体_GB2312" w:cs="Times New Roman"/>
          <w:b/>
          <w:bCs/>
          <w:i/>
          <w:color w:val="auto"/>
          <w:sz w:val="32"/>
          <w:szCs w:val="32"/>
        </w:rPr>
        <w:t>（名词解释应包含本部门专有名词，如省财政厅应有对“财政事务”科目的解释，可参考中央相关部门的名词解释）</w:t>
      </w:r>
    </w:p>
    <w:p w14:paraId="088A06E4">
      <w:pPr>
        <w:pStyle w:val="17"/>
        <w:jc w:val="center"/>
        <w:rPr>
          <w:rFonts w:ascii="Times New Roman" w:hAnsi="Times New Roman" w:cs="Times New Roman"/>
          <w:sz w:val="72"/>
          <w:szCs w:val="72"/>
        </w:rPr>
      </w:pPr>
    </w:p>
    <w:p w14:paraId="6DF929B2">
      <w:pPr>
        <w:pStyle w:val="17"/>
        <w:jc w:val="center"/>
        <w:rPr>
          <w:rFonts w:ascii="Times New Roman" w:hAnsi="Times New Roman" w:cs="Times New Roman"/>
          <w:sz w:val="72"/>
          <w:szCs w:val="72"/>
        </w:rPr>
      </w:pPr>
    </w:p>
    <w:p w14:paraId="66AEB7D2">
      <w:pPr>
        <w:pStyle w:val="17"/>
        <w:jc w:val="center"/>
        <w:rPr>
          <w:rFonts w:ascii="Times New Roman" w:hAnsi="Times New Roman" w:cs="Times New Roman"/>
          <w:sz w:val="72"/>
          <w:szCs w:val="72"/>
        </w:rPr>
      </w:pPr>
    </w:p>
    <w:p w14:paraId="6C38350F">
      <w:pPr>
        <w:pStyle w:val="17"/>
        <w:jc w:val="center"/>
        <w:rPr>
          <w:rFonts w:ascii="Times New Roman" w:hAnsi="Times New Roman" w:cs="Times New Roman"/>
          <w:sz w:val="72"/>
          <w:szCs w:val="72"/>
        </w:rPr>
      </w:pPr>
    </w:p>
    <w:p w14:paraId="79D151CF">
      <w:pPr>
        <w:pStyle w:val="17"/>
        <w:jc w:val="center"/>
        <w:rPr>
          <w:rFonts w:ascii="Times New Roman" w:hAnsi="Times New Roman" w:cs="Times New Roman"/>
          <w:sz w:val="72"/>
          <w:szCs w:val="72"/>
        </w:rPr>
      </w:pPr>
    </w:p>
    <w:p w14:paraId="1070916C">
      <w:pPr>
        <w:pStyle w:val="17"/>
        <w:jc w:val="center"/>
        <w:rPr>
          <w:rFonts w:ascii="Times New Roman" w:hAnsi="Times New Roman" w:cs="Times New Roman"/>
          <w:sz w:val="72"/>
          <w:szCs w:val="72"/>
        </w:rPr>
      </w:pPr>
    </w:p>
    <w:p w14:paraId="11BCE9D2">
      <w:pPr>
        <w:pStyle w:val="17"/>
        <w:jc w:val="center"/>
        <w:rPr>
          <w:rFonts w:ascii="Times New Roman" w:hAnsi="Times New Roman" w:cs="Times New Roman"/>
          <w:sz w:val="72"/>
          <w:szCs w:val="72"/>
        </w:rPr>
      </w:pPr>
    </w:p>
    <w:p w14:paraId="7CB18BFD">
      <w:pPr>
        <w:pStyle w:val="17"/>
        <w:jc w:val="both"/>
        <w:rPr>
          <w:rFonts w:ascii="Times New Roman" w:hAnsi="Times New Roman" w:cs="Times New Roman"/>
          <w:sz w:val="72"/>
          <w:szCs w:val="72"/>
        </w:rPr>
      </w:pPr>
    </w:p>
    <w:p w14:paraId="3D7E30E6">
      <w:pPr>
        <w:pStyle w:val="17"/>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1E6E96DF">
      <w:pPr>
        <w:rPr>
          <w:rFonts w:ascii="Times New Roman" w:hAnsi="Times New Roman" w:cs="Times New Roman"/>
          <w:sz w:val="72"/>
          <w:szCs w:val="72"/>
        </w:rPr>
      </w:pPr>
    </w:p>
    <w:p w14:paraId="003401F4">
      <w:pPr>
        <w:pStyle w:val="17"/>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0F0354B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蓝山县林业局202</w:t>
      </w:r>
      <w:r>
        <w:rPr>
          <w:rFonts w:hint="eastAsia" w:ascii="方正小标宋简体" w:hAnsi="方正小标宋简体" w:eastAsia="方正小标宋简体" w:cs="方正小标宋简体"/>
          <w:b/>
          <w:bCs/>
          <w:sz w:val="44"/>
          <w:szCs w:val="44"/>
          <w:lang w:val="en-US" w:eastAsia="zh-CN"/>
        </w:rPr>
        <w:t>4</w:t>
      </w:r>
      <w:r>
        <w:rPr>
          <w:rFonts w:hint="eastAsia" w:ascii="方正小标宋简体" w:hAnsi="方正小标宋简体" w:eastAsia="方正小标宋简体" w:cs="方正小标宋简体"/>
          <w:b/>
          <w:bCs/>
          <w:sz w:val="44"/>
          <w:szCs w:val="44"/>
        </w:rPr>
        <w:t>年度整体支出绩效评价自 评 报 告</w:t>
      </w:r>
    </w:p>
    <w:p w14:paraId="1CD146C3">
      <w:pPr>
        <w:spacing w:line="480" w:lineRule="exact"/>
        <w:rPr>
          <w:rFonts w:hint="eastAsia" w:ascii="宋体" w:hAnsi="宋体" w:eastAsia="宋体" w:cs="宋体"/>
          <w:b/>
          <w:bCs/>
          <w:sz w:val="32"/>
          <w:szCs w:val="32"/>
        </w:rPr>
      </w:pPr>
      <w:r>
        <w:rPr>
          <w:rFonts w:hint="eastAsia" w:ascii="宋体" w:hAnsi="宋体" w:eastAsia="宋体" w:cs="宋体"/>
          <w:b/>
          <w:bCs/>
          <w:sz w:val="32"/>
          <w:szCs w:val="32"/>
        </w:rPr>
        <w:t xml:space="preserve"> </w:t>
      </w:r>
    </w:p>
    <w:p w14:paraId="2482147F">
      <w:pPr>
        <w:spacing w:line="520" w:lineRule="exact"/>
        <w:rPr>
          <w:rFonts w:hint="eastAsia" w:ascii="宋体" w:hAnsi="宋体" w:eastAsia="宋体" w:cs="宋体"/>
          <w:b/>
          <w:bCs/>
          <w:sz w:val="32"/>
          <w:szCs w:val="32"/>
        </w:rPr>
      </w:pPr>
      <w:r>
        <w:rPr>
          <w:rFonts w:hint="eastAsia" w:ascii="宋体" w:hAnsi="宋体" w:eastAsia="宋体" w:cs="宋体"/>
          <w:b w:val="0"/>
          <w:bCs w:val="0"/>
          <w:sz w:val="36"/>
          <w:szCs w:val="36"/>
        </w:rPr>
        <w:t>蓝山县财政局：</w:t>
      </w:r>
      <w:r>
        <w:rPr>
          <w:rFonts w:hint="eastAsia" w:ascii="宋体" w:hAnsi="宋体" w:eastAsia="宋体" w:cs="宋体"/>
          <w:b/>
          <w:bCs/>
          <w:sz w:val="32"/>
          <w:szCs w:val="32"/>
        </w:rPr>
        <w:t xml:space="preserve">   </w:t>
      </w:r>
    </w:p>
    <w:p w14:paraId="05F01F9D">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宋体" w:hAnsi="宋体" w:eastAsia="宋体" w:cs="宋体"/>
          <w:sz w:val="32"/>
          <w:szCs w:val="32"/>
        </w:rPr>
        <w:t xml:space="preserve">    </w:t>
      </w:r>
      <w:r>
        <w:rPr>
          <w:rFonts w:hint="eastAsia" w:ascii="仿宋_GB2312" w:hAnsi="仿宋_GB2312" w:eastAsia="仿宋_GB2312" w:cs="仿宋_GB2312"/>
          <w:sz w:val="32"/>
          <w:szCs w:val="32"/>
          <w:lang w:val="en-US" w:eastAsia="zh-CN"/>
        </w:rPr>
        <w:t>根据蓝财绩（2024）2号《蓝山县财政局关于开展2024年度财政支出绩效自评工作的通知》文件要求，我局成立了绩效评价工作小组，负责将全年各项资金使用情况的各种资料收集齐全，对资金的计划、管理、支出等认真统计，认真总结，现将林业局2024年度整体支出绩效自评情况报告如下：</w:t>
      </w:r>
    </w:p>
    <w:p w14:paraId="16D4817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一、蓝山县林业局概况</w:t>
      </w:r>
    </w:p>
    <w:p w14:paraId="786E8C97">
      <w:pPr>
        <w:spacing w:line="520" w:lineRule="exact"/>
        <w:rPr>
          <w:rFonts w:hint="eastAsia" w:ascii="楷体_GB2312" w:hAnsi="楷体_GB2312" w:eastAsia="楷体_GB2312" w:cs="楷体_GB2312"/>
          <w:b/>
          <w:bCs/>
          <w:sz w:val="32"/>
          <w:szCs w:val="32"/>
          <w:lang w:val="en-US" w:eastAsia="zh-CN"/>
        </w:rPr>
      </w:pPr>
      <w:r>
        <w:rPr>
          <w:rFonts w:hint="eastAsia" w:ascii="宋体" w:hAnsi="宋体" w:eastAsia="宋体" w:cs="宋体"/>
          <w:sz w:val="32"/>
          <w:szCs w:val="32"/>
        </w:rPr>
        <w:t xml:space="preserve">   </w:t>
      </w:r>
      <w:r>
        <w:rPr>
          <w:rFonts w:hint="eastAsia" w:ascii="楷体_GB2312" w:hAnsi="楷体_GB2312" w:eastAsia="楷体_GB2312" w:cs="楷体_GB2312"/>
          <w:b/>
          <w:bCs/>
          <w:sz w:val="32"/>
          <w:szCs w:val="32"/>
          <w:lang w:val="en-US" w:eastAsia="zh-CN"/>
        </w:rPr>
        <w:t>（一）蓝山县林业局基本情况</w:t>
      </w:r>
    </w:p>
    <w:p w14:paraId="7EF740C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林业局人员、机构设置情况2024年本单位年未实有人数174人，其中行政人员3人，参照公务员法管理事业人员2人，事业编人员158人。本单位内设行政机构(股级机构)7个，包括办公室(加挂人事股的牌子)、规划财务股、造林绿化和科技股（加挂蓝山县绿化委员会办公室、退耕还林办公室）、森林资源管理股；野生动植物保护股（自然保护地管理股、国家公园管理办公室）；政策法规和改革发展股；信访调纠股；下设事业编机构20个，其中副科级机构林业综合执法大队（加挂县木材运输巡查大队牌子）和林业科技服务中心2个，股级机构18个（包括森林资源产权交易中心、森林资源资产评估中心（加挂林业调查规划设计队牌子）、野生动植物保护站7个、基层林业工作站10个）。</w:t>
      </w:r>
    </w:p>
    <w:p w14:paraId="1560755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2、主要职责包括：</w:t>
      </w:r>
    </w:p>
    <w:p w14:paraId="501BF558">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（1）、负责全县林业和草原及其生态保护修复的监督管理。</w:t>
      </w:r>
    </w:p>
    <w:p w14:paraId="13690E03">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（2）、组织全县林业和草原生态保护修复和造林绿化工作。承担县绿化委员会的具体工作。</w:t>
      </w:r>
    </w:p>
    <w:p w14:paraId="14CE5D07">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（3）、负责全县森林、草原、湿地资源的监督管理。</w:t>
      </w:r>
    </w:p>
    <w:p w14:paraId="5C8189C7">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（4）、负责监督管理全县石漠化防治工作。</w:t>
      </w:r>
    </w:p>
    <w:p w14:paraId="28AB3C3C">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（5）、负责全县陆生野生动植物资源监督管理。</w:t>
      </w:r>
    </w:p>
    <w:p w14:paraId="67BB2FD0">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（6）、负责监督管理全县各类自然保护地。</w:t>
      </w:r>
    </w:p>
    <w:p w14:paraId="3F94F70B">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（7）、负责推进全县林业和草原改革相关工作。</w:t>
      </w:r>
    </w:p>
    <w:p w14:paraId="57B9A464">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（8）、拟订林业和草原资源优化配置及木材利用政策。</w:t>
      </w:r>
    </w:p>
    <w:p w14:paraId="2F8CF944">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（9）、指导国有林场、集体林场基本建设和发展，负责基层林业工作机构的建设和管理等。</w:t>
      </w:r>
    </w:p>
    <w:p w14:paraId="6D5B1008">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（10）、指导全县森林公安工作，监督管理森林公安队伍，指导全县林业重大违法案件的查处，负责相关行政执法监督工作，指导林区社会治安治理工作。</w:t>
      </w:r>
    </w:p>
    <w:p w14:paraId="083692D9">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（11）、负责落实综合防灾减灾规划相关要求。</w:t>
      </w:r>
    </w:p>
    <w:p w14:paraId="683254FB">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（12）、监督管理林业和草原资金和国有资产，提出林业和草原预算内投资、组织实施林业和草原生态补偿工作。</w:t>
      </w:r>
    </w:p>
    <w:p w14:paraId="0C838E5B">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（13）、负责林业和草原科技、教育和外事工作，指导全县林业和草原人才队伍建设。</w:t>
      </w:r>
    </w:p>
    <w:p w14:paraId="09C32F7B">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（14）、完成县委、县政府交办的其他任务。</w:t>
      </w:r>
    </w:p>
    <w:p w14:paraId="0DB669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eastAsia" w:ascii="仿宋_GB2312" w:hAnsi="仿宋_GB2312" w:eastAsia="仿宋_GB2312" w:cs="仿宋_GB2312"/>
          <w:sz w:val="32"/>
          <w:szCs w:val="32"/>
          <w:lang w:val="en-US" w:eastAsia="zh-CN"/>
        </w:rPr>
        <w:t>整体绩效工作计划及目标：</w:t>
      </w:r>
      <w:r>
        <w:rPr>
          <w:rFonts w:hint="default" w:ascii="Times New Roman" w:hAnsi="Times New Roman" w:eastAsia="仿宋_GB2312" w:cs="Times New Roman"/>
          <w:b w:val="0"/>
          <w:bCs w:val="0"/>
          <w:sz w:val="32"/>
          <w:szCs w:val="32"/>
          <w:lang w:val="en-US" w:eastAsia="zh-CN"/>
        </w:rPr>
        <w:t>2024年度工作思路：“坚持一个抓手，守牢四条底线，围绕三个重点，做好四篇文章，实现一个目标”。即：坚持以全面推深做实林长制这个总抓手，守牢防火底线，不发生较大及以上森林火灾；守牢不成疫不成灾底线，抓实森林病虫害防治；守牢生态保护底线，做好中央环境督查和省级洞庭清波交办的事项整改落实；守牢生态安全底线，坚决实现侯鸟保护“三无一杜绝”目标，确保蓝山“千年鸟道”千年安全；紧紧围绕国土绿化、资源保护、产业发展三个重点方面，着力做好“增绿、护绿、用绿、活绿”四篇文章，努力实现“林长制真抓实干争取国务院、省政府林长制工作真抓实干激励表彰”目标。</w:t>
      </w:r>
    </w:p>
    <w:p w14:paraId="43BC0B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2024年</w:t>
      </w:r>
      <w:r>
        <w:rPr>
          <w:rFonts w:hint="eastAsia" w:ascii="Times New Roman" w:hAnsi="Times New Roman" w:eastAsia="仿宋_GB2312" w:cs="Times New Roman"/>
          <w:b w:val="0"/>
          <w:bCs w:val="0"/>
          <w:sz w:val="32"/>
          <w:szCs w:val="32"/>
          <w:lang w:val="en-US" w:eastAsia="zh-CN"/>
        </w:rPr>
        <w:t>预期产出目标：</w:t>
      </w:r>
      <w:r>
        <w:rPr>
          <w:rFonts w:hint="default" w:ascii="Times New Roman" w:hAnsi="Times New Roman" w:eastAsia="仿宋_GB2312" w:cs="Times New Roman"/>
          <w:b w:val="0"/>
          <w:bCs w:val="0"/>
          <w:sz w:val="32"/>
          <w:szCs w:val="32"/>
          <w:lang w:val="en-US" w:eastAsia="zh-CN"/>
        </w:rPr>
        <w:t>全县林地面积预计保持在200万亩，全县森林覆盖率稳定在60%，活立木蓄积预计达598.7万m³湿地保护率在92.5%以上，湿地保护稳定率在100%。义务植树株数90万株，顺利完成了我县年度义务植树任务；2024年完成《蓝山县油茶产业发展三年行动实施方案（2023-2025年）》油茶新造任务5000亩，低改任务10000亩。2024年林业总产值预计达30亿元，努力践行绿水青山就是金山银山的理念，认真贯彻落实省市和蓝山县委县政府奋力打造“湘江源头 千年鸟道”两张靓丽生态名片的目标任务。</w:t>
      </w:r>
    </w:p>
    <w:p w14:paraId="32C1D7CC">
      <w:pPr>
        <w:pStyle w:val="2"/>
        <w:rPr>
          <w:rFonts w:hint="default"/>
          <w:lang w:val="en-US" w:eastAsia="zh-CN"/>
        </w:rPr>
      </w:pPr>
    </w:p>
    <w:p w14:paraId="57661977">
      <w:pPr>
        <w:spacing w:line="520" w:lineRule="exact"/>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（二）、蓝山县林业局2024年度整体收支规模、使用方向和主要内容、涉及范围。</w:t>
      </w:r>
    </w:p>
    <w:p w14:paraId="18832A69">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2024年度林业局整体收支规模财政补助收入</w:t>
      </w:r>
      <w:r>
        <w:rPr>
          <w:rFonts w:hint="eastAsia" w:ascii="仿宋_GB2312" w:hAnsi="仿宋_GB2312" w:eastAsia="仿宋_GB2312" w:cs="仿宋_GB2312"/>
          <w:color w:val="auto"/>
          <w:sz w:val="32"/>
          <w:szCs w:val="32"/>
          <w:lang w:val="en-US" w:eastAsia="zh-CN"/>
        </w:rPr>
        <w:t>4820.39</w:t>
      </w:r>
      <w:r>
        <w:rPr>
          <w:rFonts w:hint="eastAsia" w:ascii="仿宋_GB2312" w:hAnsi="仿宋_GB2312" w:eastAsia="仿宋_GB2312" w:cs="仿宋_GB2312"/>
          <w:sz w:val="32"/>
          <w:szCs w:val="32"/>
          <w:lang w:val="en-US" w:eastAsia="zh-CN"/>
        </w:rPr>
        <w:t>万元；2024年度林业局总支出</w:t>
      </w:r>
      <w:r>
        <w:rPr>
          <w:rFonts w:hint="eastAsia" w:ascii="仿宋_GB2312" w:hAnsi="仿宋_GB2312" w:eastAsia="仿宋_GB2312" w:cs="仿宋_GB2312"/>
          <w:color w:val="auto"/>
          <w:sz w:val="32"/>
          <w:szCs w:val="32"/>
          <w:lang w:val="en-US" w:eastAsia="zh-CN"/>
        </w:rPr>
        <w:t>4820.39</w:t>
      </w:r>
      <w:r>
        <w:rPr>
          <w:rFonts w:hint="eastAsia" w:ascii="仿宋_GB2312" w:hAnsi="仿宋_GB2312" w:eastAsia="仿宋_GB2312" w:cs="仿宋_GB2312"/>
          <w:sz w:val="32"/>
          <w:szCs w:val="32"/>
          <w:lang w:val="en-US" w:eastAsia="zh-CN"/>
        </w:rPr>
        <w:t>万元主要内容有各项行政支出、项目支出、劳务支出等。涉及范围为林草资源等。</w:t>
      </w:r>
    </w:p>
    <w:p w14:paraId="6351C0FE">
      <w:pPr>
        <w:spacing w:line="520" w:lineRule="exact"/>
        <w:rPr>
          <w:rFonts w:hint="eastAsia" w:ascii="黑体" w:hAnsi="黑体" w:eastAsia="黑体" w:cs="黑体"/>
          <w:sz w:val="32"/>
          <w:szCs w:val="32"/>
          <w:lang w:val="en-US" w:eastAsia="zh-CN"/>
        </w:rPr>
      </w:pPr>
      <w:r>
        <w:rPr>
          <w:rFonts w:hint="eastAsia" w:ascii="宋体" w:hAnsi="宋体" w:eastAsia="宋体" w:cs="宋体"/>
          <w:sz w:val="32"/>
          <w:szCs w:val="32"/>
        </w:rPr>
        <w:t xml:space="preserve"> </w:t>
      </w:r>
      <w:r>
        <w:rPr>
          <w:rFonts w:hint="eastAsia" w:ascii="黑体" w:hAnsi="黑体" w:eastAsia="黑体" w:cs="黑体"/>
          <w:sz w:val="32"/>
          <w:szCs w:val="32"/>
          <w:lang w:val="en-US" w:eastAsia="zh-CN"/>
        </w:rPr>
        <w:t>二、部门整体支出管理及使用情况</w:t>
      </w:r>
    </w:p>
    <w:p w14:paraId="3EF61411">
      <w:pPr>
        <w:spacing w:line="520" w:lineRule="exact"/>
        <w:rPr>
          <w:rFonts w:hint="eastAsia" w:ascii="楷体_GB2312" w:hAnsi="楷体_GB2312" w:eastAsia="楷体_GB2312" w:cs="楷体_GB2312"/>
          <w:b/>
          <w:bCs/>
          <w:sz w:val="32"/>
          <w:szCs w:val="32"/>
          <w:lang w:val="en-US" w:eastAsia="zh-CN"/>
        </w:rPr>
      </w:pPr>
      <w:r>
        <w:rPr>
          <w:rFonts w:hint="eastAsia" w:ascii="宋体" w:hAnsi="宋体" w:eastAsia="宋体" w:cs="宋体"/>
          <w:sz w:val="32"/>
          <w:szCs w:val="32"/>
        </w:rPr>
        <w:t xml:space="preserve"> </w:t>
      </w:r>
      <w:r>
        <w:rPr>
          <w:rFonts w:hint="eastAsia" w:ascii="宋体" w:hAnsi="宋体" w:eastAsia="宋体" w:cs="宋体"/>
          <w:b/>
          <w:bCs/>
          <w:sz w:val="32"/>
          <w:szCs w:val="32"/>
        </w:rPr>
        <w:t xml:space="preserve">  </w:t>
      </w:r>
      <w:r>
        <w:rPr>
          <w:rFonts w:hint="eastAsia" w:ascii="楷体_GB2312" w:hAnsi="楷体_GB2312" w:eastAsia="楷体_GB2312" w:cs="楷体_GB2312"/>
          <w:b/>
          <w:bCs/>
          <w:sz w:val="32"/>
          <w:szCs w:val="32"/>
          <w:lang w:val="en-US" w:eastAsia="zh-CN"/>
        </w:rPr>
        <w:t>（一）基本支出、项目支出管理情况</w:t>
      </w:r>
    </w:p>
    <w:p w14:paraId="7D7C64C2">
      <w:pPr>
        <w:ind w:firstLine="320" w:firstLineChars="100"/>
        <w:rPr>
          <w:rFonts w:hint="eastAsia" w:ascii="仿宋_GB2312" w:hAnsi="仿宋_GB2312" w:eastAsia="仿宋_GB2312" w:cs="仿宋_GB2312"/>
          <w:color w:val="auto"/>
          <w:sz w:val="32"/>
          <w:szCs w:val="32"/>
          <w:lang w:eastAsia="zh-CN"/>
        </w:rPr>
      </w:pPr>
      <w:r>
        <w:rPr>
          <w:rFonts w:hint="eastAsia" w:ascii="宋体" w:hAnsi="宋体" w:eastAsia="宋体" w:cs="宋体"/>
          <w:sz w:val="32"/>
          <w:szCs w:val="32"/>
        </w:rPr>
        <w:t xml:space="preserve">   </w:t>
      </w:r>
      <w:r>
        <w:rPr>
          <w:rFonts w:hint="eastAsia" w:ascii="仿宋_GB2312" w:hAnsi="仿宋_GB2312" w:eastAsia="仿宋_GB2312" w:cs="仿宋_GB2312"/>
          <w:color w:val="auto"/>
          <w:sz w:val="32"/>
          <w:szCs w:val="32"/>
          <w:lang w:val="en-US" w:eastAsia="zh-CN"/>
        </w:rPr>
        <w:t>本年支出总额4820.39万</w:t>
      </w:r>
      <w:r>
        <w:rPr>
          <w:rFonts w:hint="eastAsia" w:ascii="仿宋_GB2312" w:hAnsi="仿宋_GB2312" w:eastAsia="仿宋_GB2312" w:cs="仿宋_GB2312"/>
          <w:color w:val="auto"/>
          <w:sz w:val="32"/>
          <w:szCs w:val="32"/>
        </w:rPr>
        <w:t>元。其中</w:t>
      </w:r>
      <w:r>
        <w:rPr>
          <w:rFonts w:hint="eastAsia" w:ascii="仿宋_GB2312" w:hAnsi="仿宋_GB2312" w:eastAsia="仿宋_GB2312" w:cs="仿宋_GB2312"/>
          <w:color w:val="auto"/>
          <w:sz w:val="32"/>
          <w:szCs w:val="32"/>
          <w:lang w:eastAsia="zh-CN"/>
        </w:rPr>
        <w:t>：</w:t>
      </w:r>
    </w:p>
    <w:p w14:paraId="14B0E4B5">
      <w:pPr>
        <w:numPr>
          <w:ilvl w:val="0"/>
          <w:numId w:val="0"/>
        </w:num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1、基本支出：</w:t>
      </w:r>
      <w:r>
        <w:rPr>
          <w:rFonts w:hint="eastAsia" w:ascii="仿宋_GB2312" w:hAnsi="仿宋_GB2312" w:eastAsia="仿宋_GB2312" w:cs="仿宋_GB2312"/>
          <w:color w:val="auto"/>
          <w:sz w:val="32"/>
          <w:szCs w:val="32"/>
          <w:lang w:eastAsia="zh-CN"/>
        </w:rPr>
        <w:t>人员经费支出</w:t>
      </w:r>
      <w:r>
        <w:rPr>
          <w:rFonts w:hint="eastAsia" w:ascii="仿宋_GB2312" w:hAnsi="仿宋_GB2312" w:eastAsia="仿宋_GB2312" w:cs="仿宋_GB2312"/>
          <w:color w:val="auto"/>
          <w:sz w:val="32"/>
          <w:szCs w:val="32"/>
          <w:lang w:val="en-US" w:eastAsia="zh-CN"/>
        </w:rPr>
        <w:t>2265.91万元，</w:t>
      </w:r>
      <w:r>
        <w:rPr>
          <w:rFonts w:hint="eastAsia" w:ascii="仿宋_GB2312" w:hAnsi="仿宋_GB2312" w:eastAsia="仿宋_GB2312" w:cs="仿宋_GB2312"/>
          <w:color w:val="auto"/>
          <w:sz w:val="32"/>
          <w:szCs w:val="32"/>
          <w:lang w:eastAsia="zh-CN"/>
        </w:rPr>
        <w:t>较上年度增加</w:t>
      </w:r>
      <w:r>
        <w:rPr>
          <w:rFonts w:hint="eastAsia" w:ascii="仿宋_GB2312" w:hAnsi="仿宋_GB2312" w:eastAsia="仿宋_GB2312" w:cs="仿宋_GB2312"/>
          <w:color w:val="auto"/>
          <w:sz w:val="32"/>
          <w:szCs w:val="32"/>
          <w:lang w:val="en-US" w:eastAsia="zh-CN"/>
        </w:rPr>
        <w:t>104.42万元，增加4.83%。原因分析如下：2023年未走单部分于2024年支付。日常公用经费支出296.79万元，</w:t>
      </w:r>
      <w:r>
        <w:rPr>
          <w:rFonts w:hint="eastAsia" w:ascii="仿宋_GB2312" w:hAnsi="仿宋_GB2312" w:eastAsia="仿宋_GB2312" w:cs="仿宋_GB2312"/>
          <w:color w:val="auto"/>
          <w:sz w:val="32"/>
          <w:szCs w:val="32"/>
          <w:lang w:eastAsia="zh-CN"/>
        </w:rPr>
        <w:t>较上年度增加</w:t>
      </w:r>
      <w:r>
        <w:rPr>
          <w:rFonts w:hint="eastAsia" w:ascii="仿宋_GB2312" w:hAnsi="仿宋_GB2312" w:eastAsia="仿宋_GB2312" w:cs="仿宋_GB2312"/>
          <w:color w:val="auto"/>
          <w:sz w:val="32"/>
          <w:szCs w:val="32"/>
          <w:lang w:val="en-US" w:eastAsia="zh-CN"/>
        </w:rPr>
        <w:t>22.95万元，</w:t>
      </w:r>
      <w:r>
        <w:rPr>
          <w:rFonts w:hint="eastAsia" w:ascii="仿宋_GB2312" w:hAnsi="仿宋_GB2312" w:eastAsia="仿宋_GB2312" w:cs="仿宋_GB2312"/>
          <w:color w:val="auto"/>
          <w:sz w:val="32"/>
          <w:szCs w:val="32"/>
          <w:lang w:eastAsia="zh-CN"/>
        </w:rPr>
        <w:t>增加</w:t>
      </w:r>
      <w:r>
        <w:rPr>
          <w:rFonts w:hint="eastAsia" w:ascii="仿宋_GB2312" w:hAnsi="仿宋_GB2312" w:eastAsia="仿宋_GB2312" w:cs="仿宋_GB2312"/>
          <w:color w:val="auto"/>
          <w:sz w:val="32"/>
          <w:szCs w:val="32"/>
          <w:lang w:val="en-US" w:eastAsia="zh-CN"/>
        </w:rPr>
        <w:t>8.38%。原因分析如下：2023年未走单部分于2024年支付。</w:t>
      </w:r>
    </w:p>
    <w:p w14:paraId="79D0D3DF">
      <w:pPr>
        <w:numPr>
          <w:ilvl w:val="0"/>
          <w:numId w:val="0"/>
        </w:num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2.项目支出：基本建设类项目支出2124.65万元，较上年度减少4234.72万元，减少66.59%。原因分析如下：2024年专项资金独立核算，故项目资金减少。</w:t>
      </w:r>
    </w:p>
    <w:p w14:paraId="62630FA3">
      <w:pPr>
        <w:spacing w:line="520" w:lineRule="exact"/>
        <w:ind w:firstLine="640"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（二）“三公经费”支出使用和管理情况</w:t>
      </w:r>
    </w:p>
    <w:p w14:paraId="6CFF2889">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“三公”经费支出情况：</w:t>
      </w:r>
      <w:r>
        <w:rPr>
          <w:rFonts w:hint="eastAsia" w:ascii="仿宋_GB2312" w:hAnsi="仿宋_GB2312" w:eastAsia="仿宋_GB2312" w:cs="仿宋_GB2312"/>
          <w:color w:val="auto"/>
          <w:sz w:val="32"/>
          <w:szCs w:val="32"/>
          <w:lang w:val="en-US" w:eastAsia="zh-CN"/>
        </w:rPr>
        <w:t>2024</w:t>
      </w:r>
      <w:r>
        <w:rPr>
          <w:rFonts w:hint="eastAsia" w:ascii="仿宋_GB2312" w:hAnsi="仿宋_GB2312" w:eastAsia="仿宋_GB2312" w:cs="仿宋_GB2312"/>
          <w:color w:val="auto"/>
          <w:sz w:val="32"/>
          <w:szCs w:val="32"/>
        </w:rPr>
        <w:t>年“三公”经费总额</w:t>
      </w:r>
      <w:r>
        <w:rPr>
          <w:rFonts w:hint="eastAsia" w:ascii="仿宋_GB2312" w:hAnsi="仿宋_GB2312" w:eastAsia="仿宋_GB2312" w:cs="仿宋_GB2312"/>
          <w:color w:val="auto"/>
          <w:sz w:val="32"/>
          <w:szCs w:val="32"/>
          <w:lang w:val="en-US" w:eastAsia="zh-CN"/>
        </w:rPr>
        <w:t>17.60万</w:t>
      </w:r>
      <w:r>
        <w:rPr>
          <w:rFonts w:hint="eastAsia" w:ascii="仿宋_GB2312" w:hAnsi="仿宋_GB2312" w:eastAsia="仿宋_GB2312" w:cs="仿宋_GB2312"/>
          <w:color w:val="auto"/>
          <w:sz w:val="32"/>
          <w:szCs w:val="32"/>
        </w:rPr>
        <w:t>元，未超过预算数据。占总支出</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lang w:val="en-US" w:eastAsia="zh-CN"/>
        </w:rPr>
        <w:t>0.36%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较上年度增加</w:t>
      </w:r>
      <w:r>
        <w:rPr>
          <w:rFonts w:hint="eastAsia" w:ascii="仿宋_GB2312" w:hAnsi="仿宋_GB2312" w:eastAsia="仿宋_GB2312" w:cs="仿宋_GB2312"/>
          <w:color w:val="auto"/>
          <w:sz w:val="32"/>
          <w:szCs w:val="32"/>
          <w:lang w:val="en-US" w:eastAsia="zh-CN"/>
        </w:rPr>
        <w:t>3.24万元，</w:t>
      </w:r>
      <w:r>
        <w:rPr>
          <w:rFonts w:hint="eastAsia" w:ascii="仿宋_GB2312" w:hAnsi="仿宋_GB2312" w:eastAsia="仿宋_GB2312" w:cs="仿宋_GB2312"/>
          <w:color w:val="auto"/>
          <w:sz w:val="32"/>
          <w:szCs w:val="32"/>
          <w:lang w:eastAsia="zh-CN"/>
        </w:rPr>
        <w:t>其中包括：</w:t>
      </w:r>
    </w:p>
    <w:p w14:paraId="4D9573E4">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1、因公出国（境）费。本年和上年度金额均为零。</w:t>
      </w:r>
    </w:p>
    <w:p w14:paraId="3C866DA2">
      <w:pPr>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2、公务用车购置及运行维护费。本年度支出7.84万元，</w:t>
      </w:r>
      <w:r>
        <w:rPr>
          <w:rFonts w:hint="eastAsia" w:ascii="仿宋_GB2312" w:hAnsi="仿宋_GB2312" w:eastAsia="仿宋_GB2312" w:cs="仿宋_GB2312"/>
          <w:color w:val="auto"/>
          <w:sz w:val="32"/>
          <w:szCs w:val="32"/>
          <w:lang w:eastAsia="zh-CN"/>
        </w:rPr>
        <w:t>较上年度增加</w:t>
      </w:r>
      <w:r>
        <w:rPr>
          <w:rFonts w:hint="eastAsia" w:ascii="仿宋_GB2312" w:hAnsi="仿宋_GB2312" w:eastAsia="仿宋_GB2312" w:cs="仿宋_GB2312"/>
          <w:color w:val="auto"/>
          <w:sz w:val="32"/>
          <w:szCs w:val="32"/>
          <w:lang w:val="en-US" w:eastAsia="zh-CN"/>
        </w:rPr>
        <w:t>2.1万元，增加36.58%，增加原因分析：新增公车导致费用增加。</w:t>
      </w:r>
    </w:p>
    <w:p w14:paraId="6A298076">
      <w:pPr>
        <w:spacing w:line="520" w:lineRule="exac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公务接待费。本年度支出</w:t>
      </w:r>
      <w:r>
        <w:rPr>
          <w:rFonts w:hint="eastAsia" w:ascii="仿宋_GB2312" w:hAnsi="仿宋_GB2312" w:eastAsia="仿宋_GB2312" w:cs="仿宋_GB2312"/>
          <w:color w:val="auto"/>
          <w:sz w:val="32"/>
          <w:szCs w:val="32"/>
          <w:lang w:val="en-US" w:eastAsia="zh-CN"/>
        </w:rPr>
        <w:t>9.76万元，</w:t>
      </w:r>
      <w:r>
        <w:rPr>
          <w:rFonts w:hint="eastAsia" w:ascii="仿宋_GB2312" w:hAnsi="仿宋_GB2312" w:eastAsia="仿宋_GB2312" w:cs="仿宋_GB2312"/>
          <w:color w:val="auto"/>
          <w:sz w:val="32"/>
          <w:szCs w:val="32"/>
          <w:lang w:eastAsia="zh-CN"/>
        </w:rPr>
        <w:t>较上年度增加</w:t>
      </w:r>
      <w:r>
        <w:rPr>
          <w:rFonts w:hint="eastAsia" w:ascii="仿宋_GB2312" w:hAnsi="仿宋_GB2312" w:eastAsia="仿宋_GB2312" w:cs="仿宋_GB2312"/>
          <w:color w:val="auto"/>
          <w:sz w:val="32"/>
          <w:szCs w:val="32"/>
          <w:lang w:val="en-US" w:eastAsia="zh-CN"/>
        </w:rPr>
        <w:t xml:space="preserve">1.14万元，增加13.22%，增加原因分析：招待人员增加。 </w:t>
      </w:r>
    </w:p>
    <w:p w14:paraId="2DF72FB8">
      <w:pPr>
        <w:spacing w:line="520" w:lineRule="exact"/>
        <w:ind w:firstLine="640"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（三）专项资金管理和使用情况</w:t>
      </w:r>
    </w:p>
    <w:p w14:paraId="000449B5">
      <w:pPr>
        <w:spacing w:line="520" w:lineRule="exact"/>
        <w:ind w:firstLine="320" w:firstLineChars="1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1、专项资金预算投入情况。</w:t>
      </w:r>
    </w:p>
    <w:p w14:paraId="3BEDC39E">
      <w:pPr>
        <w:spacing w:line="520" w:lineRule="exact"/>
        <w:ind w:firstLine="420" w:firstLineChars="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2024年本级预算专项经费指标共计567万元，分别为林长制工作经费15万元，候鸟保护专项200万元，生态护林员工资172万元，林长制智慧管理系统平台建设180万元。</w:t>
      </w:r>
    </w:p>
    <w:p w14:paraId="510C1479">
      <w:pPr>
        <w:spacing w:line="520" w:lineRule="exact"/>
        <w:ind w:firstLine="320" w:firstLineChars="1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2、专项资金实际投入使用情况。</w:t>
      </w:r>
    </w:p>
    <w:p w14:paraId="1B1BFC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2024年本级预算专项经费指标共计567万元，其中林长制工作经费15万元：已执行使用14.44万元，执行率96%，用于林长制相关工作开支。候鸟保护专项200万元：已执行使用</w:t>
      </w:r>
      <w:r>
        <w:rPr>
          <w:rFonts w:hint="eastAsia" w:ascii="仿宋_GB2312" w:hAnsi="仿宋_GB2312" w:eastAsia="仿宋_GB2312" w:cs="仿宋_GB2312"/>
          <w:sz w:val="32"/>
          <w:szCs w:val="32"/>
          <w:lang w:val="en-US" w:eastAsia="zh-CN"/>
        </w:rPr>
        <w:t>148.05</w:t>
      </w:r>
      <w:r>
        <w:rPr>
          <w:rFonts w:hint="eastAsia" w:ascii="仿宋_GB2312" w:hAnsi="仿宋_GB2312" w:eastAsia="仿宋_GB2312" w:cs="仿宋_GB2312"/>
          <w:color w:val="auto"/>
          <w:kern w:val="2"/>
          <w:sz w:val="32"/>
          <w:szCs w:val="32"/>
          <w:lang w:val="en-US" w:eastAsia="zh-CN" w:bidi="ar-SA"/>
        </w:rPr>
        <w:t>万元，执行率74%。我们</w:t>
      </w:r>
      <w:r>
        <w:rPr>
          <w:rFonts w:hint="eastAsia" w:ascii="仿宋_GB2312" w:hAnsi="仿宋_GB2312" w:eastAsia="仿宋_GB2312" w:cs="仿宋_GB2312"/>
          <w:sz w:val="32"/>
          <w:szCs w:val="32"/>
        </w:rPr>
        <w:t>组建</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专业巡护队伍，开展地毯式巡护，重点区域24小时值守。对候鸟迁徙通道和栖息地进行全面排查，清理捕鸟工具。与公安、市场监管等部门联合执法，严厉打击非法捕猎、贩卖野生动物行为。建立举报奖励机制，鼓励公众参与监督。建设候鸟保护监测站，配备先进监测设备。完善“千年鸟道”保护区预警平台，建立智慧监测系统。开展“五进”宣传活动，通过线上线下相结合的方式，营造爱鸟护鸟氛围。利用媒体平台发布保护候鸟的报道和短视频，推广蓝山护鸟经验。</w:t>
      </w:r>
      <w:r>
        <w:rPr>
          <w:rFonts w:hint="eastAsia" w:ascii="仿宋_GB2312" w:hAnsi="仿宋_GB2312" w:eastAsia="仿宋_GB2312" w:cs="仿宋_GB2312"/>
          <w:color w:val="auto"/>
          <w:kern w:val="2"/>
          <w:sz w:val="32"/>
          <w:szCs w:val="32"/>
          <w:lang w:val="en-US" w:eastAsia="zh-CN" w:bidi="ar-SA"/>
        </w:rPr>
        <w:t>生态护林员工资172万元：</w:t>
      </w:r>
      <w:r>
        <w:rPr>
          <w:rFonts w:hint="eastAsia" w:ascii="仿宋_GB2312" w:hAnsi="仿宋_GB2312" w:eastAsia="仿宋_GB2312" w:cs="仿宋_GB2312"/>
          <w:b w:val="0"/>
          <w:bCs w:val="0"/>
          <w:sz w:val="32"/>
          <w:szCs w:val="32"/>
          <w:lang w:val="en-US" w:eastAsia="zh-CN"/>
        </w:rPr>
        <w:t>2024年实际支出126.80168万元，实现预算执行率73.72%。资金主要用于发放护林员日常工资及优秀护林员奖励，其中二、三季度护林员工资支出125.60168万元，用于保障护林员的基本生活与工作报酬；2023年优秀护林员奖励支出1.2万元，以表彰先进，树立榜样，激发护林员的工作积极性。</w:t>
      </w:r>
      <w:r>
        <w:rPr>
          <w:rFonts w:hint="eastAsia" w:ascii="仿宋_GB2312" w:hAnsi="仿宋_GB2312" w:eastAsia="仿宋_GB2312" w:cs="仿宋_GB2312"/>
          <w:color w:val="auto"/>
          <w:kern w:val="2"/>
          <w:sz w:val="32"/>
          <w:szCs w:val="32"/>
          <w:lang w:val="en-US" w:eastAsia="zh-CN" w:bidi="ar-SA"/>
        </w:rPr>
        <w:t>林长制智慧管理系统平台建设180万元：因按省级要求2024年处于规划纳入预算走流程过程已结余到2025年规范使用。</w:t>
      </w:r>
    </w:p>
    <w:p w14:paraId="3D34D0F8">
      <w:pPr>
        <w:spacing w:line="520" w:lineRule="exac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sz w:val="32"/>
          <w:szCs w:val="32"/>
          <w:lang w:val="en-US" w:eastAsia="zh-CN"/>
        </w:rPr>
        <w:t>3、专项资金管理情况。</w:t>
      </w:r>
    </w:p>
    <w:p w14:paraId="4D197838">
      <w:pPr>
        <w:spacing w:line="520" w:lineRule="exact"/>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（四）项目资金管理和使用情况专项资金预算投入情况。</w:t>
      </w:r>
    </w:p>
    <w:p w14:paraId="1821C617">
      <w:pPr>
        <w:spacing w:line="520" w:lineRule="exact"/>
        <w:ind w:firstLine="640"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1、项目资金预算投入情况。</w:t>
      </w:r>
    </w:p>
    <w:p w14:paraId="610FCABD">
      <w:pPr>
        <w:spacing w:line="520" w:lineRule="exact"/>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2024年度中央、省级林业项目指标6318.377万元，本级指标567万元。2024年，全县林地面积保持在212.28万亩，全县森林覆盖率稳定在62.92%，活立木蓄积量598.7万m³，湿地保护率在92.5%以上，湿地保护稳定率100%。完成湘江源区生态综合治理项目，我县成功争取建设任务64000亩、建设资金3160万元。完成造林面积12550亩，其中人工造林5850亩、人工更新6700亩。全县应参加义务植树适龄公民人数29.76万人，实际参加植树人数27.11万人，义务植树尽责率达91.2%；义务植树株数94.89万株，人均完成植树3.5株，顺利完成了我县年度义务植树任务；2024年完成《蓝山县油茶产业发展三年行动实施方案（2023-2025年）》油茶新造任务5000亩，低改任务10000亩，现油茶新造已完成5016亩，完成率100.32%，油茶低改10002亩，完成率100.02%；已争取到永州市油茶示范奖补项目，预计下达我县新造油茶林示范基地建设7420.3亩，低产低效油茶林改造7008.5亩，推动我县油茶产业发展促进农民增产增收。2024年林业总产值预计达30.8亿元，其中竹木加工产值16.5亿元，林下经济产值4.8亿元。蓝山县记录鸟种从2023年的169种提升至229种，候鸟种类提升至120余种，2024年于四海坪候鸟保护站环志工作中确认蓝山县新增鸟类国家二级保护动物水稚。</w:t>
      </w:r>
    </w:p>
    <w:p w14:paraId="3A1BC50C">
      <w:pPr>
        <w:spacing w:line="520" w:lineRule="exact"/>
        <w:ind w:firstLine="640"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2、项目资金实际投入使用情况。</w:t>
      </w:r>
    </w:p>
    <w:p w14:paraId="6D21FDDD">
      <w:pPr>
        <w:spacing w:line="520" w:lineRule="exact"/>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2024年度中央、省、级林业项目投入使用6318.377万元，本级林业项目投入使用567万元，合计6885.377万元，使用项目类别分别为森林生态效益补偿资金、天然林停伐补助资金、野生动植物保护、林业有害防治、油茶产业、义务植树、乡村绿化苗木采购等28个项目。</w:t>
      </w:r>
    </w:p>
    <w:p w14:paraId="14E21766">
      <w:pPr>
        <w:spacing w:line="520" w:lineRule="exact"/>
        <w:ind w:firstLine="640"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3、项目资金管理情况，主要包括管理制度、办法的制订及执行情况。</w:t>
      </w:r>
    </w:p>
    <w:p w14:paraId="00ED9C28">
      <w:pPr>
        <w:spacing w:line="520" w:lineRule="exact"/>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林业全部项目资金专款专用，建立健全了财务管理制度和审批制度，严格资金的使用。加强对资金使用情况的管理和检查，自觉接受审计部门的监督，杜绝挤占、截留、挪用现象发生，提高资金使用效益。制定了《蓝山县林业局专项资金管理制度》、《蓝山县林业局财务报销审批管理制度》，并按制度严格执行。</w:t>
      </w:r>
    </w:p>
    <w:p w14:paraId="11C31B5F">
      <w:pPr>
        <w:spacing w:line="52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三、绩效评价工作组织实施情况</w:t>
      </w:r>
    </w:p>
    <w:p w14:paraId="3D0C6D13">
      <w:pPr>
        <w:spacing w:line="520" w:lineRule="exact"/>
        <w:ind w:firstLine="420" w:firstLineChars="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成立绩效评价工作领导小组。组长局长王峰，副组长副局长李顺斌，成员为办公室主任周亮，党建办主任曾莉青，计财股股长陈映辉，会计李佳欣。计财股股长陈映辉、会计李佳欣负责收集、查阅、汇总绩效资料并撰写绩效自评报告。</w:t>
      </w:r>
    </w:p>
    <w:p w14:paraId="328008EC">
      <w:pPr>
        <w:spacing w:line="520" w:lineRule="exact"/>
        <w:ind w:firstLine="420" w:firstLineChars="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（二）核实数据。对2024年度部门整体支出数据的准确性、真实性进行核实，将2023年度和2024年度部门整体支出情况进行比较分析。</w:t>
      </w:r>
    </w:p>
    <w:p w14:paraId="2744D114">
      <w:pPr>
        <w:spacing w:line="520" w:lineRule="exact"/>
        <w:ind w:firstLine="420" w:firstLineChars="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（三）查阅资料。查阅2024年度预算安排、非税收入、预算追加、资金管理、经费支出、资产管理等相关文件资料和财务凭证。实地查看。现场查看实物资产等。</w:t>
      </w:r>
    </w:p>
    <w:p w14:paraId="214465E4">
      <w:pPr>
        <w:spacing w:line="520" w:lineRule="exact"/>
        <w:ind w:firstLine="420" w:firstLineChars="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（四）发放调查问卷。对部门履行职责情况的公众满意度进行调查。</w:t>
      </w:r>
    </w:p>
    <w:p w14:paraId="43D880F2">
      <w:pPr>
        <w:spacing w:line="520" w:lineRule="exact"/>
        <w:ind w:firstLine="420" w:firstLineChars="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（五）归纳汇总。对提供的材料及自评报告，结合现场评价情况进行综合分析、归纳汇总。</w:t>
      </w:r>
    </w:p>
    <w:p w14:paraId="4208CF9B">
      <w:pPr>
        <w:spacing w:line="520" w:lineRule="exact"/>
        <w:ind w:firstLine="420" w:firstLineChars="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（六）评价组对各项评价指标进行分析讨论。</w:t>
      </w:r>
    </w:p>
    <w:p w14:paraId="413E9EF5">
      <w:pPr>
        <w:spacing w:line="520" w:lineRule="exact"/>
        <w:ind w:firstLine="420" w:firstLineChars="0"/>
        <w:rPr>
          <w:rFonts w:hint="eastAsia" w:ascii="宋体" w:hAnsi="宋体" w:eastAsia="宋体" w:cs="宋体"/>
          <w:sz w:val="32"/>
          <w:szCs w:val="32"/>
        </w:rPr>
      </w:pPr>
      <w:r>
        <w:rPr>
          <w:rFonts w:hint="eastAsia" w:ascii="仿宋_GB2312" w:hAnsi="仿宋_GB2312" w:eastAsia="仿宋_GB2312" w:cs="仿宋_GB2312"/>
          <w:color w:val="auto"/>
          <w:kern w:val="2"/>
          <w:sz w:val="32"/>
          <w:szCs w:val="32"/>
          <w:lang w:val="en-US" w:eastAsia="zh-CN" w:bidi="ar-SA"/>
        </w:rPr>
        <w:t xml:space="preserve"> （七）形成绩效评价报告。</w:t>
      </w:r>
    </w:p>
    <w:p w14:paraId="794BF850">
      <w:pPr>
        <w:spacing w:line="52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四、整体支出绩效情况</w:t>
      </w:r>
    </w:p>
    <w:p w14:paraId="19147ED8">
      <w:pPr>
        <w:spacing w:line="520" w:lineRule="exact"/>
        <w:rPr>
          <w:rFonts w:hint="eastAsia" w:ascii="仿宋_GB2312" w:hAnsi="仿宋_GB2312" w:eastAsia="仿宋_GB2312" w:cs="仿宋_GB2312"/>
          <w:color w:val="auto"/>
          <w:kern w:val="2"/>
          <w:sz w:val="32"/>
          <w:szCs w:val="32"/>
          <w:lang w:val="en-US" w:eastAsia="zh-CN" w:bidi="ar-SA"/>
        </w:rPr>
      </w:pPr>
      <w:r>
        <w:rPr>
          <w:rFonts w:hint="eastAsia" w:ascii="宋体" w:hAnsi="宋体" w:eastAsia="宋体" w:cs="宋体"/>
          <w:b/>
          <w:bCs/>
          <w:sz w:val="32"/>
          <w:szCs w:val="32"/>
        </w:rPr>
        <w:t xml:space="preserve">    </w:t>
      </w:r>
      <w:r>
        <w:rPr>
          <w:rFonts w:hint="eastAsia" w:ascii="仿宋_GB2312" w:hAnsi="仿宋_GB2312" w:eastAsia="仿宋_GB2312" w:cs="仿宋_GB2312"/>
          <w:color w:val="auto"/>
          <w:kern w:val="2"/>
          <w:sz w:val="32"/>
          <w:szCs w:val="32"/>
          <w:lang w:val="en-US" w:eastAsia="zh-CN" w:bidi="ar-SA"/>
        </w:rPr>
        <w:t>在工作中，针对出现的新情况、新问题，通过不断探讨和尝试，逐步总结出先进的管理模式，在组织管理和技术运用方面积累经验，为今后的林业工作打下了坚实的基础，创造了效益。</w:t>
      </w:r>
    </w:p>
    <w:p w14:paraId="2A9172A9">
      <w:pPr>
        <w:spacing w:line="520" w:lineRule="exact"/>
        <w:ind w:firstLine="320" w:firstLineChars="1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（一）经济性</w:t>
      </w:r>
    </w:p>
    <w:p w14:paraId="4DFE7761">
      <w:pPr>
        <w:spacing w:line="520" w:lineRule="exact"/>
        <w:rPr>
          <w:rFonts w:hint="eastAsia" w:ascii="宋体" w:hAnsi="宋体" w:eastAsia="宋体" w:cs="宋体"/>
          <w:b/>
          <w:sz w:val="32"/>
          <w:szCs w:val="32"/>
        </w:rPr>
      </w:pPr>
      <w:r>
        <w:rPr>
          <w:rFonts w:hint="eastAsia" w:ascii="宋体" w:hAnsi="宋体" w:eastAsia="宋体" w:cs="宋体"/>
          <w:b/>
          <w:sz w:val="32"/>
          <w:szCs w:val="32"/>
        </w:rPr>
        <w:t xml:space="preserve">    </w:t>
      </w:r>
      <w:r>
        <w:rPr>
          <w:rFonts w:hint="eastAsia" w:ascii="仿宋_GB2312" w:hAnsi="仿宋_GB2312" w:eastAsia="仿宋_GB2312" w:cs="仿宋_GB2312"/>
          <w:color w:val="auto"/>
          <w:kern w:val="2"/>
          <w:sz w:val="32"/>
          <w:szCs w:val="32"/>
          <w:lang w:val="en-US" w:eastAsia="zh-CN" w:bidi="ar-SA"/>
        </w:rPr>
        <w:t>一是保障了职工工资,津补贴的及时足额发放,没有出现拖欠职工工资,离退休费用等现象；二是保障了单位的正常运转,各项工作开展顺利,有多项工作被省林业厅及市林业局得到肯定， 林业各项指标得到了增长,林农收入得到了提高；林业总产值达到</w:t>
      </w:r>
      <w:r>
        <w:rPr>
          <w:rFonts w:hint="eastAsia" w:ascii="仿宋_GB2312" w:hAnsi="仿宋_GB2312" w:eastAsia="仿宋_GB2312" w:cs="仿宋_GB2312"/>
          <w:color w:val="auto"/>
          <w:kern w:val="2"/>
          <w:sz w:val="32"/>
          <w:szCs w:val="32"/>
          <w:lang w:val="en-US" w:eastAsia="zh-CN" w:bidi="ar-SA"/>
        </w:rPr>
        <w:tab/>
      </w:r>
      <w:r>
        <w:rPr>
          <w:rFonts w:hint="eastAsia" w:ascii="仿宋_GB2312" w:hAnsi="仿宋_GB2312" w:eastAsia="仿宋_GB2312" w:cs="仿宋_GB2312"/>
          <w:color w:val="auto"/>
          <w:kern w:val="2"/>
          <w:sz w:val="32"/>
          <w:szCs w:val="32"/>
          <w:lang w:val="en-US" w:eastAsia="zh-CN" w:bidi="ar-SA"/>
        </w:rPr>
        <w:t xml:space="preserve">30.8亿元,同比增长0.96%。三是财政供养人员控制较好,控制率为≤84.42%；四是资金使用无虚列支出及随意使用现象,无大额现金支付现象。五是我局积极筹措资金，压缩和控制了正常性消耗支出，加大了生产性建设项目投资，完成绿化工程投入，保障了林业建设工程的顺利实施。 </w:t>
      </w:r>
    </w:p>
    <w:p w14:paraId="14535A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（二）效率性和有效性</w:t>
      </w:r>
    </w:p>
    <w:p w14:paraId="250C76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b w:val="0"/>
          <w:bCs w:val="0"/>
          <w:i w:val="0"/>
          <w:caps w:val="0"/>
          <w:spacing w:val="0"/>
          <w:w w:val="100"/>
          <w:sz w:val="32"/>
          <w:szCs w:val="32"/>
          <w:u w:val="none"/>
          <w:lang w:val="en-US" w:eastAsia="zh-CN"/>
        </w:rPr>
        <w:t>2024年，全县林地面积保持在212.28万亩，全县森林覆盖率稳定在62.92%，活立木蓄积预计达598.7万m³，</w:t>
      </w:r>
      <w:r>
        <w:rPr>
          <w:rFonts w:hint="eastAsia" w:ascii="仿宋_GB2312" w:hAnsi="仿宋_GB2312" w:eastAsia="仿宋_GB2312" w:cs="仿宋_GB2312"/>
          <w:color w:val="auto"/>
          <w:spacing w:val="4"/>
          <w:kern w:val="0"/>
          <w:sz w:val="32"/>
          <w:szCs w:val="32"/>
          <w:lang w:val="en-US" w:eastAsia="zh-CN"/>
        </w:rPr>
        <w:t>湿地保护率在92.5%以上，湿地保护稳定率100%</w:t>
      </w:r>
      <w:r>
        <w:rPr>
          <w:rFonts w:hint="eastAsia" w:ascii="Times New Roman" w:hAnsi="Times New Roman" w:eastAsia="仿宋_GB2312" w:cs="Times New Roman"/>
          <w:b w:val="0"/>
          <w:bCs w:val="0"/>
          <w:i w:val="0"/>
          <w:caps w:val="0"/>
          <w:spacing w:val="0"/>
          <w:w w:val="100"/>
          <w:sz w:val="32"/>
          <w:szCs w:val="32"/>
          <w:u w:val="none"/>
          <w:lang w:val="en-US" w:eastAsia="zh-CN"/>
        </w:rPr>
        <w:t>。</w:t>
      </w:r>
      <w:r>
        <w:rPr>
          <w:rFonts w:hint="eastAsia" w:ascii="仿宋_GB2312" w:hAnsi="仿宋_GB2312" w:eastAsia="仿宋_GB2312" w:cs="仿宋_GB2312"/>
          <w:b w:val="0"/>
          <w:bCs/>
          <w:color w:val="auto"/>
          <w:sz w:val="32"/>
          <w:szCs w:val="32"/>
          <w:u w:val="none"/>
          <w:lang w:val="en-US" w:eastAsia="zh-CN"/>
        </w:rPr>
        <w:t>2024</w:t>
      </w:r>
      <w:r>
        <w:rPr>
          <w:rFonts w:hint="eastAsia" w:ascii="仿宋_GB2312" w:hAnsi="仿宋_GB2312" w:eastAsia="仿宋_GB2312" w:cs="仿宋_GB2312"/>
          <w:b w:val="0"/>
          <w:bCs/>
          <w:color w:val="auto"/>
          <w:sz w:val="32"/>
          <w:szCs w:val="32"/>
          <w:lang w:val="en-US" w:eastAsia="zh-CN"/>
        </w:rPr>
        <w:t>年林业总产值预计达</w:t>
      </w:r>
      <w:r>
        <w:rPr>
          <w:rFonts w:hint="eastAsia" w:ascii="仿宋_GB2312" w:hAnsi="仿宋_GB2312" w:eastAsia="仿宋_GB2312" w:cs="仿宋_GB2312"/>
          <w:b w:val="0"/>
          <w:bCs/>
          <w:color w:val="auto"/>
          <w:sz w:val="32"/>
          <w:szCs w:val="32"/>
          <w:highlight w:val="none"/>
          <w:lang w:val="en-US" w:eastAsia="zh-CN"/>
        </w:rPr>
        <w:t>30.8亿元，其中竹木加工产值16.5亿元，林下经济产值4.8亿元。</w:t>
      </w:r>
      <w:r>
        <w:rPr>
          <w:rFonts w:hint="default" w:ascii="仿宋_GB2312" w:hAnsi="仿宋_GB2312" w:eastAsia="仿宋_GB2312" w:cs="仿宋_GB2312"/>
          <w:sz w:val="32"/>
          <w:szCs w:val="32"/>
          <w:highlight w:val="none"/>
          <w:lang w:val="en-US" w:eastAsia="zh-CN"/>
        </w:rPr>
        <w:t>蓝山县记录鸟种从2023年的169种</w:t>
      </w:r>
      <w:r>
        <w:rPr>
          <w:rFonts w:hint="default" w:ascii="仿宋_GB2312" w:hAnsi="仿宋_GB2312" w:eastAsia="仿宋_GB2312" w:cs="仿宋_GB2312"/>
          <w:sz w:val="32"/>
          <w:szCs w:val="32"/>
          <w:lang w:val="en-US" w:eastAsia="zh-CN"/>
        </w:rPr>
        <w:t>提升至2</w:t>
      </w:r>
      <w:r>
        <w:rPr>
          <w:rFonts w:hint="eastAsia" w:ascii="仿宋_GB2312" w:hAnsi="仿宋_GB2312" w:eastAsia="仿宋_GB2312" w:cs="仿宋_GB2312"/>
          <w:sz w:val="32"/>
          <w:szCs w:val="32"/>
          <w:lang w:val="en-US" w:eastAsia="zh-CN"/>
        </w:rPr>
        <w:t>29</w:t>
      </w:r>
      <w:r>
        <w:rPr>
          <w:rFonts w:hint="default" w:ascii="仿宋_GB2312" w:hAnsi="仿宋_GB2312" w:eastAsia="仿宋_GB2312" w:cs="仿宋_GB2312"/>
          <w:sz w:val="32"/>
          <w:szCs w:val="32"/>
          <w:lang w:val="en-US" w:eastAsia="zh-CN"/>
        </w:rPr>
        <w:t>种，候鸟种类提升至120余种</w:t>
      </w:r>
      <w:r>
        <w:rPr>
          <w:rFonts w:hint="eastAsia" w:ascii="仿宋_GB2312" w:hAnsi="仿宋_GB2312" w:eastAsia="仿宋_GB2312" w:cs="仿宋_GB2312"/>
          <w:sz w:val="32"/>
          <w:szCs w:val="32"/>
          <w:lang w:val="en-US" w:eastAsia="zh-CN"/>
        </w:rPr>
        <w:t>，2024年于四海坪候鸟保护站环志工作中确认蓝山县新增鸟类国家二级保护动物水稚</w:t>
      </w:r>
      <w:r>
        <w:rPr>
          <w:rFonts w:hint="eastAsia" w:ascii="仿宋_GB2312" w:hAnsi="仿宋_GB2312" w:eastAsia="仿宋_GB2312" w:cs="仿宋_GB2312"/>
          <w:sz w:val="32"/>
          <w:szCs w:val="32"/>
          <w:lang w:eastAsia="zh-CN"/>
        </w:rPr>
        <w:t>。</w:t>
      </w:r>
    </w:p>
    <w:p w14:paraId="77B46B70">
      <w:pPr>
        <w:numPr>
          <w:ilvl w:val="0"/>
          <w:numId w:val="0"/>
        </w:numPr>
        <w:spacing w:line="520" w:lineRule="exact"/>
        <w:ind w:firstLine="420" w:firstLineChars="0"/>
        <w:rPr>
          <w:rFonts w:hint="eastAsia" w:ascii="仿宋_GB2312" w:hAnsi="仿宋_GB2312" w:eastAsia="仿宋_GB2312" w:cs="仿宋_GB2312"/>
          <w:color w:val="auto"/>
          <w:kern w:val="2"/>
          <w:sz w:val="32"/>
          <w:szCs w:val="32"/>
          <w:lang w:val="en-US" w:eastAsia="zh-CN" w:bidi="ar-SA"/>
        </w:rPr>
      </w:pPr>
    </w:p>
    <w:p w14:paraId="354A6997">
      <w:pPr>
        <w:spacing w:line="520" w:lineRule="exact"/>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（三）可持续性</w:t>
      </w:r>
    </w:p>
    <w:p w14:paraId="2C9F359E">
      <w:pPr>
        <w:spacing w:line="520" w:lineRule="exact"/>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通过各项目实施，可新增形成具有保持水土、调节气候、改善生态和环境质量等对于蓝山县发展多种生态效能的造、种、植基地，形成“生态建设产业化、产业建设生态化”和“生态建设和产业建设良性互动”的局面，促进蓝山县生态保护、产业的可持续健康发展。</w:t>
      </w:r>
    </w:p>
    <w:p w14:paraId="2B0DC275">
      <w:pPr>
        <w:spacing w:line="520" w:lineRule="exact"/>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(四)社会和公众满意度</w:t>
      </w:r>
    </w:p>
    <w:p w14:paraId="18D1C0EA">
      <w:pPr>
        <w:spacing w:line="520" w:lineRule="exact"/>
        <w:rPr>
          <w:rFonts w:hint="eastAsia" w:ascii="仿宋_GB2312" w:hAnsi="仿宋_GB2312" w:eastAsia="仿宋_GB2312" w:cs="仿宋_GB2312"/>
          <w:color w:val="auto"/>
          <w:kern w:val="2"/>
          <w:sz w:val="32"/>
          <w:szCs w:val="32"/>
          <w:lang w:val="en-US" w:eastAsia="zh-CN" w:bidi="ar-SA"/>
        </w:rPr>
      </w:pPr>
      <w:r>
        <w:rPr>
          <w:rFonts w:hint="eastAsia" w:ascii="宋体" w:hAnsi="宋体" w:eastAsia="宋体" w:cs="宋体"/>
          <w:sz w:val="32"/>
          <w:szCs w:val="32"/>
        </w:rPr>
        <w:t xml:space="preserve">    </w:t>
      </w:r>
      <w:r>
        <w:rPr>
          <w:rFonts w:hint="eastAsia" w:ascii="仿宋_GB2312" w:hAnsi="仿宋_GB2312" w:eastAsia="仿宋_GB2312" w:cs="仿宋_GB2312"/>
          <w:color w:val="auto"/>
          <w:kern w:val="2"/>
          <w:sz w:val="32"/>
          <w:szCs w:val="32"/>
          <w:lang w:val="en-US" w:eastAsia="zh-CN" w:bidi="ar-SA"/>
        </w:rPr>
        <w:t xml:space="preserve">根据部门整体支出绩效评价指标规定的内容，经林业局评价组综合评价，蓝山县林业局2024年度整体支出绩效自评得分98分，2023年度8分，社会和公众满意度98%，综合评价为优秀。  </w:t>
      </w:r>
    </w:p>
    <w:p w14:paraId="5FF24A3D">
      <w:pPr>
        <w:pStyle w:val="12"/>
        <w:numPr>
          <w:ilvl w:val="0"/>
          <w:numId w:val="2"/>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存在的主要问题：</w:t>
      </w:r>
    </w:p>
    <w:p w14:paraId="186ED855">
      <w:pPr>
        <w:pStyle w:val="12"/>
        <w:numPr>
          <w:ilvl w:val="0"/>
          <w:numId w:val="0"/>
        </w:numPr>
        <w:ind w:firstLine="420" w:firstLineChars="0"/>
        <w:rPr>
          <w:rFonts w:hint="eastAsia" w:ascii="仿宋_GB2312" w:hAnsi="仿宋_GB2312" w:eastAsia="仿宋_GB2312" w:cs="仿宋_GB2312"/>
          <w:lang w:val="en-US" w:eastAsia="zh-CN"/>
        </w:rPr>
      </w:pPr>
      <w:r>
        <w:rPr>
          <w:rFonts w:hint="eastAsia" w:ascii="楷体_GB2312" w:hAnsi="楷体_GB2312" w:eastAsia="楷体_GB2312" w:cs="楷体_GB2312"/>
          <w:b/>
          <w:bCs/>
          <w:lang w:val="en-US" w:eastAsia="zh-CN"/>
        </w:rPr>
        <w:t>1、全面推行林长制管理机制有待进一步理顺。</w:t>
      </w:r>
      <w:r>
        <w:rPr>
          <w:rFonts w:hint="eastAsia" w:ascii="仿宋_GB2312" w:hAnsi="仿宋_GB2312" w:eastAsia="仿宋_GB2312" w:cs="仿宋_GB2312"/>
          <w:lang w:val="en-US" w:eastAsia="zh-CN"/>
        </w:rPr>
        <w:t>推行林长制存在林业部门一家“单打独斗”的现象，部门协同推进和齐抓共管不到位，部分乡镇、村对林长制工作重要性还存在认识不足，重视不够，大部分村级林长对肩负的责任认识不清，履职不到位，森林资源保护发展合力尚未真正形成。</w:t>
      </w:r>
    </w:p>
    <w:p w14:paraId="751760A3">
      <w:pPr>
        <w:pStyle w:val="23"/>
        <w:keepNext w:val="0"/>
        <w:keepLines w:val="0"/>
        <w:pageBreakBefore w:val="0"/>
        <w:widowControl/>
        <w:numPr>
          <w:ilvl w:val="0"/>
          <w:numId w:val="0"/>
        </w:numPr>
        <w:kinsoku/>
        <w:wordWrap/>
        <w:overflowPunct w:val="0"/>
        <w:topLinePunct w:val="0"/>
        <w:autoSpaceDE w:val="0"/>
        <w:autoSpaceDN w:val="0"/>
        <w:bidi w:val="0"/>
        <w:adjustRightInd w:val="0"/>
        <w:snapToGrid/>
        <w:spacing w:line="560" w:lineRule="exact"/>
        <w:ind w:firstLine="688" w:firstLineChars="200"/>
        <w:textAlignment w:val="baseline"/>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2、油茶种植土地开发难度大。</w:t>
      </w:r>
      <w:r>
        <w:rPr>
          <w:rFonts w:hint="eastAsia" w:ascii="仿宋_GB2312" w:hAnsi="仿宋_GB2312" w:eastAsia="仿宋_GB2312" w:cs="仿宋_GB2312"/>
          <w:sz w:val="32"/>
          <w:szCs w:val="32"/>
          <w:lang w:val="en-US" w:eastAsia="zh-CN"/>
        </w:rPr>
        <w:t>自然资源部门的可恢复耕地、耕地后备资源不断调整挤压造林空间，导致油茶项目地块落实难度大，油茶发展用地问题受到制约，要完成油茶造林3年15000亩、油茶低改3年30000亩的任务压力大；油茶种植资金投入特别是前期投入大，技术要求比较高，林农各自分散经营，主管部门对荒芜林地并无制约，难以集中流转给大户或公司经营，不利于规模开发。</w:t>
      </w:r>
    </w:p>
    <w:p w14:paraId="515BF3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eastAsia="仿宋_GB2312"/>
          <w:sz w:val="32"/>
          <w:szCs w:val="32"/>
          <w:highlight w:val="none"/>
        </w:rPr>
      </w:pPr>
      <w:r>
        <w:rPr>
          <w:rFonts w:hint="eastAsia" w:ascii="楷体_GB2312" w:hAnsi="楷体_GB2312" w:eastAsia="楷体_GB2312" w:cs="楷体_GB2312"/>
          <w:b/>
          <w:bCs/>
          <w:sz w:val="32"/>
          <w:szCs w:val="32"/>
          <w:lang w:val="en-US" w:eastAsia="zh-CN"/>
        </w:rPr>
        <w:t>3、林业碳汇项目启动阻碍大。</w:t>
      </w:r>
      <w:r>
        <w:rPr>
          <w:rFonts w:hint="eastAsia" w:ascii="仿宋_GB2312" w:hAnsi="仿宋_GB2312" w:eastAsia="仿宋_GB2312" w:cs="仿宋_GB2312"/>
          <w:b w:val="0"/>
          <w:bCs w:val="0"/>
          <w:sz w:val="32"/>
          <w:szCs w:val="32"/>
          <w:lang w:val="en-US" w:eastAsia="zh-CN"/>
        </w:rPr>
        <w:t>我省正在实施的金融性国家储备林项目，在资金使用方面国家审计署已查出了问题，</w:t>
      </w:r>
      <w:r>
        <w:rPr>
          <w:rFonts w:hint="eastAsia" w:ascii="仿宋_GB2312" w:hAnsi="仿宋_GB2312" w:eastAsia="仿宋_GB2312" w:cs="仿宋_GB2312"/>
          <w:sz w:val="32"/>
          <w:szCs w:val="32"/>
          <w:lang w:val="en-US" w:eastAsia="zh-CN"/>
        </w:rPr>
        <w:t>目前我省暂停审批金融性国家储备林项目</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sz w:val="32"/>
          <w:szCs w:val="32"/>
          <w:lang w:val="en-US" w:eastAsia="zh-CN"/>
        </w:rPr>
        <w:t>相关政策制度机制尚未建立健全，碳汇项目开发中存在信息误导，</w:t>
      </w:r>
      <w:r>
        <w:rPr>
          <w:rFonts w:hint="eastAsia" w:ascii="Times New Roman" w:hAnsi="Times New Roman" w:eastAsia="仿宋_GB2312" w:cs="Times New Roman"/>
          <w:sz w:val="32"/>
          <w:szCs w:val="32"/>
          <w:lang w:val="en-US" w:eastAsia="zh-CN"/>
        </w:rPr>
        <w:t>国有林场的林权不允许流转，我县申报的流转国有林场的林地来开发金融性国家储备林项目无法实施</w:t>
      </w:r>
      <w:r>
        <w:rPr>
          <w:rFonts w:hint="eastAsia" w:ascii="仿宋_GB2312" w:eastAsia="仿宋_GB2312"/>
          <w:sz w:val="32"/>
          <w:szCs w:val="32"/>
          <w:highlight w:val="none"/>
        </w:rPr>
        <w:t>。</w:t>
      </w:r>
    </w:p>
    <w:p w14:paraId="2AEA777D">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楷体_GB2312" w:hAnsi="楷体_GB2312" w:eastAsia="楷体_GB2312" w:cs="楷体_GB2312"/>
          <w:b/>
          <w:bCs/>
          <w:kern w:val="2"/>
          <w:sz w:val="32"/>
          <w:szCs w:val="32"/>
          <w:highlight w:val="none"/>
          <w:lang w:val="en-US" w:eastAsia="zh-CN" w:bidi="ar-SA"/>
        </w:rPr>
      </w:pPr>
      <w:r>
        <w:rPr>
          <w:rFonts w:hint="eastAsia" w:eastAsia="楷体_GB2312" w:cs="Times New Roman"/>
          <w:b/>
          <w:bCs/>
          <w:sz w:val="32"/>
          <w:szCs w:val="32"/>
          <w:lang w:val="en-US" w:eastAsia="zh-CN"/>
        </w:rPr>
        <w:t>4、林业</w:t>
      </w:r>
      <w:r>
        <w:rPr>
          <w:rFonts w:hint="eastAsia" w:ascii="Times New Roman" w:hAnsi="Times New Roman" w:eastAsia="楷体_GB2312" w:cs="Times New Roman"/>
          <w:b/>
          <w:bCs/>
          <w:sz w:val="32"/>
          <w:szCs w:val="32"/>
          <w:lang w:val="en-US" w:eastAsia="zh-CN"/>
        </w:rPr>
        <w:t>风险防范</w:t>
      </w:r>
      <w:r>
        <w:rPr>
          <w:rFonts w:hint="eastAsia" w:eastAsia="楷体_GB2312" w:cs="Times New Roman"/>
          <w:b/>
          <w:bCs/>
          <w:sz w:val="32"/>
          <w:szCs w:val="32"/>
          <w:lang w:val="en-US" w:eastAsia="zh-CN"/>
        </w:rPr>
        <w:t>风险大</w:t>
      </w:r>
      <w:r>
        <w:rPr>
          <w:rFonts w:hint="eastAsia" w:ascii="Times New Roman" w:hAnsi="Times New Roman" w:eastAsia="楷体_GB2312" w:cs="Times New Roman"/>
          <w:b/>
          <w:bCs/>
          <w:sz w:val="32"/>
          <w:szCs w:val="32"/>
          <w:lang w:val="en-US" w:eastAsia="zh-CN"/>
        </w:rPr>
        <w:t>。</w:t>
      </w:r>
      <w:r>
        <w:rPr>
          <w:rFonts w:hint="eastAsia" w:ascii="Times New Roman" w:hAnsi="Times New Roman" w:eastAsia="仿宋_GB2312" w:cs="Times New Roman"/>
          <w:b/>
          <w:bCs/>
          <w:kern w:val="2"/>
          <w:sz w:val="32"/>
          <w:szCs w:val="32"/>
          <w:lang w:val="en-US" w:eastAsia="zh-CN" w:bidi="ar-SA"/>
        </w:rPr>
        <w:t>一是森林防火</w:t>
      </w:r>
      <w:r>
        <w:rPr>
          <w:rFonts w:hint="eastAsia" w:eastAsia="仿宋_GB2312" w:cs="Times New Roman"/>
          <w:b/>
          <w:bCs/>
          <w:kern w:val="2"/>
          <w:sz w:val="32"/>
          <w:szCs w:val="32"/>
          <w:lang w:val="en-US" w:eastAsia="zh-CN" w:bidi="ar-SA"/>
        </w:rPr>
        <w:t>工作压力大。</w:t>
      </w:r>
      <w:r>
        <w:rPr>
          <w:rFonts w:hint="eastAsia" w:ascii="Times New Roman" w:hAnsi="Times New Roman" w:eastAsia="仿宋_GB2312" w:cs="Times New Roman"/>
          <w:kern w:val="2"/>
          <w:sz w:val="32"/>
          <w:szCs w:val="32"/>
          <w:lang w:val="en-US" w:eastAsia="zh-CN" w:bidi="ar-SA"/>
        </w:rPr>
        <w:t>林区道路、生物防火林带等基础设施薄弱，林火预防、火情早期处置能力建设还有很大提升空间，乡村护林队伍</w:t>
      </w:r>
      <w:r>
        <w:rPr>
          <w:rFonts w:hint="eastAsia" w:eastAsia="仿宋_GB2312" w:cs="Times New Roman"/>
          <w:kern w:val="2"/>
          <w:sz w:val="32"/>
          <w:szCs w:val="32"/>
          <w:lang w:val="en-US" w:eastAsia="zh-CN" w:bidi="ar-SA"/>
        </w:rPr>
        <w:t>、半专业森林消防队伍建设</w:t>
      </w:r>
      <w:r>
        <w:rPr>
          <w:rFonts w:hint="eastAsia" w:ascii="Times New Roman" w:hAnsi="Times New Roman" w:eastAsia="仿宋_GB2312" w:cs="Times New Roman"/>
          <w:kern w:val="2"/>
          <w:sz w:val="32"/>
          <w:szCs w:val="32"/>
          <w:lang w:val="en-US" w:eastAsia="zh-CN" w:bidi="ar-SA"/>
        </w:rPr>
        <w:t>及管理与现实要求还存在较大差距</w:t>
      </w:r>
      <w:r>
        <w:rPr>
          <w:rFonts w:hint="eastAsia" w:eastAsia="仿宋_GB2312" w:cs="Times New Roman"/>
          <w:kern w:val="2"/>
          <w:sz w:val="32"/>
          <w:szCs w:val="32"/>
          <w:lang w:val="en-US" w:eastAsia="zh-CN" w:bidi="ar-SA"/>
        </w:rPr>
        <w:t>；</w:t>
      </w:r>
      <w:r>
        <w:rPr>
          <w:rFonts w:hint="eastAsia" w:ascii="仿宋_GB2312" w:hAnsi="仿宋_GB2312" w:eastAsia="仿宋_GB2312" w:cs="仿宋_GB2312"/>
          <w:sz w:val="32"/>
          <w:szCs w:val="32"/>
          <w:lang w:val="en-US" w:eastAsia="zh-CN"/>
        </w:rPr>
        <w:t>村民在生产用火审批报备方面不够积极，存在侥幸心理，增加了野外火源管理难度，违规野外用火等行为时有发生。</w:t>
      </w:r>
      <w:r>
        <w:rPr>
          <w:rFonts w:hint="eastAsia" w:ascii="仿宋_GB2312" w:hAnsi="宋体" w:eastAsia="仿宋_GB2312" w:cs="仿宋_GB2312"/>
          <w:b/>
          <w:bCs/>
          <w:i w:val="0"/>
          <w:iCs w:val="0"/>
          <w:caps w:val="0"/>
          <w:color w:val="333333"/>
          <w:spacing w:val="0"/>
          <w:sz w:val="32"/>
          <w:szCs w:val="32"/>
          <w:shd w:val="clear" w:color="auto" w:fill="FFFFFF"/>
          <w:lang w:val="en-US" w:eastAsia="zh-CN"/>
        </w:rPr>
        <w:t>二</w:t>
      </w:r>
      <w:r>
        <w:rPr>
          <w:rFonts w:hint="eastAsia" w:ascii="仿宋_GB2312" w:hAnsi="Calibri" w:eastAsia="仿宋_GB2312" w:cs="Times New Roman"/>
          <w:b/>
          <w:bCs/>
          <w:kern w:val="2"/>
          <w:sz w:val="32"/>
          <w:szCs w:val="32"/>
          <w:highlight w:val="none"/>
          <w:lang w:val="en-US" w:eastAsia="zh-CN" w:bidi="ar-SA"/>
        </w:rPr>
        <w:t>是森林资源管理形势严。</w:t>
      </w:r>
      <w:r>
        <w:rPr>
          <w:rFonts w:hint="eastAsia" w:ascii="仿宋_GB2312" w:hAnsi="Calibri" w:eastAsia="仿宋_GB2312" w:cs="Times New Roman"/>
          <w:kern w:val="2"/>
          <w:sz w:val="32"/>
          <w:szCs w:val="32"/>
          <w:highlight w:val="none"/>
          <w:lang w:val="en-US" w:eastAsia="zh-CN" w:bidi="ar-SA"/>
        </w:rPr>
        <w:t>使用林地的建设项目较多、形式复杂，监管工作难度大，我县审批和监管制度存在脱节现象；全县候鸟保护工作线长面广，人员安排相对紧缺，全时段全覆盖巡查管控还有短板和漏洞；盗伐滥伐林木、野外用火、捕捉野生动物行为时有发生。</w:t>
      </w:r>
    </w:p>
    <w:p w14:paraId="00587ED4">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六、改进措施和有关建议：</w:t>
      </w:r>
    </w:p>
    <w:p w14:paraId="7070202B">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20" w:firstLineChars="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1.推进生态建设。</w:t>
      </w:r>
      <w:r>
        <w:rPr>
          <w:rFonts w:hint="eastAsia" w:ascii="仿宋_GB2312" w:hAnsi="仿宋_GB2312" w:eastAsia="仿宋_GB2312" w:cs="仿宋_GB2312"/>
          <w:kern w:val="2"/>
          <w:sz w:val="32"/>
          <w:szCs w:val="32"/>
          <w:highlight w:val="none"/>
          <w:lang w:val="en-US" w:eastAsia="zh-CN" w:bidi="ar-SA"/>
        </w:rPr>
        <w:t>继续推进国土绿化、退耕还林等生态工程，</w:t>
      </w:r>
      <w:r>
        <w:rPr>
          <w:rFonts w:hint="eastAsia" w:ascii="仿宋_GB2312" w:hAnsi="仿宋_GB2312" w:eastAsia="仿宋_GB2312" w:cs="仿宋_GB2312"/>
          <w:b w:val="0"/>
          <w:bCs w:val="0"/>
          <w:sz w:val="32"/>
          <w:szCs w:val="32"/>
          <w:lang w:val="en-US" w:eastAsia="zh-CN"/>
        </w:rPr>
        <w:t>巩固绿化成果。</w:t>
      </w:r>
      <w:r>
        <w:rPr>
          <w:rFonts w:hint="eastAsia" w:ascii="Times New Roman" w:hAnsi="Times New Roman" w:eastAsia="仿宋_GB2312" w:cs="Times New Roman"/>
          <w:b w:val="0"/>
          <w:bCs w:val="0"/>
          <w:sz w:val="32"/>
          <w:szCs w:val="32"/>
          <w:lang w:val="en-US" w:eastAsia="zh-CN"/>
        </w:rPr>
        <w:t>进一步完善乡村绿化、义务植树管护制度，切实有效巩固乡村绿化、义务植树成果，做到树有人种、种有人管，真正做到种一片，绿一片。紧盯湘江源区生态综合治理项目的扫尾工作，2025年湘江源区生态综合治理项目及国土绿化的申报工作并抓好项目的实施。</w:t>
      </w:r>
    </w:p>
    <w:p w14:paraId="43F3E93B">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20" w:firstLineChars="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2.强化生态保护。一是</w:t>
      </w:r>
      <w:r>
        <w:rPr>
          <w:rFonts w:hint="eastAsia" w:ascii="仿宋_GB2312" w:hAnsi="仿宋_GB2312" w:eastAsia="仿宋_GB2312" w:cs="仿宋_GB2312"/>
          <w:kern w:val="2"/>
          <w:sz w:val="32"/>
          <w:szCs w:val="32"/>
          <w:highlight w:val="none"/>
          <w:lang w:val="en-US" w:eastAsia="zh-CN" w:bidi="ar-SA"/>
        </w:rPr>
        <w:t>加强生态保护与修复，提升林业科技创新能力和法治建设水平，建立健全科学的森林防灭火责任网络体系，确保森林防灭火工作落到实处，切实保护好森林资源与人民群众生命财产安全。强化有害生物防控，加强生物多样性保护。2025年完成候鸟科普馆建设；持续深入开展“检视反思、雷霆打击、倾力管护、铁腕正风、强基固本、全民爱鸟”六大专项行动，严厉打击破坏候鸟等野生动植物违法行为；加强林业资源保护管理，确保林业执法工作衔接有序，力度不减。</w:t>
      </w:r>
      <w:r>
        <w:rPr>
          <w:rFonts w:hint="eastAsia" w:ascii="仿宋_GB2312" w:hAnsi="仿宋_GB2312" w:eastAsia="仿宋_GB2312" w:cs="仿宋_GB2312"/>
          <w:b/>
          <w:bCs/>
          <w:kern w:val="2"/>
          <w:sz w:val="32"/>
          <w:szCs w:val="32"/>
          <w:highlight w:val="none"/>
          <w:lang w:val="en-US" w:eastAsia="zh-CN" w:bidi="ar-SA"/>
        </w:rPr>
        <w:t>二是</w:t>
      </w:r>
      <w:r>
        <w:rPr>
          <w:rFonts w:hint="eastAsia" w:ascii="仿宋_GB2312" w:hAnsi="仿宋_GB2312" w:eastAsia="仿宋_GB2312" w:cs="仿宋_GB2312"/>
          <w:kern w:val="2"/>
          <w:sz w:val="32"/>
          <w:szCs w:val="32"/>
          <w:highlight w:val="none"/>
          <w:lang w:val="en-US" w:eastAsia="zh-CN" w:bidi="ar-SA"/>
        </w:rPr>
        <w:t>进一步加强森林防火宣传、森林火灾隐患排查、乡镇防火工作监督和森林消防队伍防灭火能力建设，确保全县无较大以上森林火灾发生。</w:t>
      </w:r>
      <w:r>
        <w:rPr>
          <w:rFonts w:hint="eastAsia" w:ascii="仿宋_GB2312" w:hAnsi="仿宋_GB2312" w:eastAsia="仿宋_GB2312" w:cs="仿宋_GB2312"/>
          <w:b/>
          <w:bCs/>
          <w:kern w:val="2"/>
          <w:sz w:val="32"/>
          <w:szCs w:val="32"/>
          <w:highlight w:val="none"/>
          <w:lang w:val="en-US" w:eastAsia="zh-CN" w:bidi="ar-SA"/>
        </w:rPr>
        <w:t>三是</w:t>
      </w:r>
      <w:r>
        <w:rPr>
          <w:rFonts w:hint="eastAsia" w:ascii="仿宋_GB2312" w:hAnsi="仿宋_GB2312" w:eastAsia="仿宋_GB2312" w:cs="仿宋_GB2312"/>
          <w:b w:val="0"/>
          <w:bCs w:val="0"/>
          <w:kern w:val="2"/>
          <w:sz w:val="32"/>
          <w:szCs w:val="32"/>
          <w:highlight w:val="none"/>
          <w:lang w:val="en-US" w:eastAsia="zh-CN" w:bidi="ar-SA"/>
        </w:rPr>
        <w:t>积极开展森林</w:t>
      </w:r>
      <w:r>
        <w:rPr>
          <w:rFonts w:hint="eastAsia" w:ascii="仿宋_GB2312" w:hAnsi="仿宋_GB2312" w:eastAsia="仿宋_GB2312" w:cs="仿宋_GB2312"/>
          <w:kern w:val="2"/>
          <w:sz w:val="32"/>
          <w:szCs w:val="32"/>
          <w:highlight w:val="none"/>
          <w:lang w:val="en-US" w:eastAsia="zh-CN" w:bidi="ar-SA"/>
        </w:rPr>
        <w:t>督查、图斑监测和专项打击行动，紧紧围绕森林资源监管保护中心工作，牢牢守住生态保护红线，不断提高森林资源管理水平，力保我县森林资源现状排名持续靠前，促进林业生态高质量发展。</w:t>
      </w:r>
    </w:p>
    <w:p w14:paraId="254B510E">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仿宋_GB2312" w:hAnsi="仿宋_GB2312" w:eastAsia="仿宋_GB2312" w:cs="仿宋_GB2312"/>
          <w:b/>
          <w:bCs/>
          <w:kern w:val="2"/>
          <w:sz w:val="32"/>
          <w:szCs w:val="32"/>
          <w:highlight w:val="none"/>
          <w:lang w:val="en-US" w:eastAsia="zh-CN" w:bidi="ar-SA"/>
        </w:rPr>
        <w:t>3.发展生态产业。</w:t>
      </w:r>
      <w:r>
        <w:rPr>
          <w:rFonts w:hint="eastAsia" w:ascii="仿宋_GB2312" w:hAnsi="仿宋_GB2312" w:eastAsia="仿宋_GB2312" w:cs="仿宋_GB2312"/>
          <w:kern w:val="2"/>
          <w:sz w:val="32"/>
          <w:szCs w:val="32"/>
          <w:highlight w:val="none"/>
          <w:lang w:val="en-US" w:eastAsia="zh-CN" w:bidi="ar-SA"/>
        </w:rPr>
        <w:t>大力推行种植油茶等经济树种，积极完成油茶造林3年15000亩、油茶低改3年30000亩的任务。预计永州市油茶示范奖补项目期末，蓝山县项目区油茶亩均年产值5000 元，种植户亩均增收2500 元/年以上，年产值增收0.41亿元，油茶年总产值0.82亿元。结合蓝山实际，做强森林药材、香精香料，做优竹类、苗木花卉、森林景观利用等产业；发挥资源优势，因地制宜发展经济林、林产品加工、“林家乐”和森林旅游等林业特色产业，促进林草产业融合发展，实现“生态美、产业兴、百姓富”发展目标。</w:t>
      </w:r>
    </w:p>
    <w:p w14:paraId="335CAA29">
      <w:pPr>
        <w:ind w:firstLine="640" w:firstLineChars="200"/>
        <w:jc w:val="right"/>
        <w:rPr>
          <w:rFonts w:hint="eastAsia" w:ascii="宋体" w:hAnsi="宋体" w:eastAsia="宋体" w:cs="宋体"/>
          <w:sz w:val="32"/>
          <w:szCs w:val="32"/>
        </w:rPr>
      </w:pPr>
      <w:r>
        <w:rPr>
          <w:rFonts w:hint="eastAsia" w:ascii="宋体" w:hAnsi="宋体" w:eastAsia="宋体" w:cs="宋体"/>
          <w:bCs/>
          <w:sz w:val="32"/>
          <w:szCs w:val="32"/>
        </w:rPr>
        <w:t xml:space="preserve"> </w:t>
      </w:r>
    </w:p>
    <w:p w14:paraId="5B018E6F">
      <w:pPr>
        <w:pStyle w:val="17"/>
        <w:spacing w:line="600" w:lineRule="exact"/>
        <w:ind w:firstLine="640" w:firstLineChars="200"/>
        <w:rPr>
          <w:rFonts w:ascii="Times New Roman" w:hAnsi="Times New Roman" w:eastAsia="仿宋_GB2312" w:cs="Times New Roman"/>
          <w:sz w:val="32"/>
          <w:szCs w:val="32"/>
        </w:rPr>
      </w:pPr>
    </w:p>
    <w:p w14:paraId="1B59079C">
      <w:pPr>
        <w:pStyle w:val="17"/>
        <w:jc w:val="center"/>
        <w:rPr>
          <w:rFonts w:ascii="Times New Roman" w:hAnsi="Times New Roman" w:cs="Times New Roman"/>
          <w:sz w:val="72"/>
          <w:szCs w:val="72"/>
        </w:rPr>
      </w:pPr>
    </w:p>
    <w:p w14:paraId="17A2F420">
      <w:pPr>
        <w:pStyle w:val="17"/>
        <w:jc w:val="center"/>
        <w:rPr>
          <w:rFonts w:ascii="Times New Roman" w:hAnsi="Times New Roman" w:cs="Times New Roman"/>
          <w:sz w:val="72"/>
          <w:szCs w:val="72"/>
        </w:rPr>
      </w:pPr>
    </w:p>
    <w:p w14:paraId="580D33AE">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439F63AF">
    <w:panose1 w:val="020000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3AD84">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3C961">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C62C1">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100F3">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A6E9CC">
                          <w:pPr>
                            <w:pStyle w:val="9"/>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BA6E9CC">
                    <w:pPr>
                      <w:pStyle w:val="9"/>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EFB51E"/>
    <w:multiLevelType w:val="singleLevel"/>
    <w:tmpl w:val="EEEFB51E"/>
    <w:lvl w:ilvl="0" w:tentative="0">
      <w:start w:val="5"/>
      <w:numFmt w:val="chineseCounting"/>
      <w:suff w:val="nothing"/>
      <w:lvlText w:val="%1、"/>
      <w:lvlJc w:val="left"/>
      <w:rPr>
        <w:rFonts w:hint="eastAsia"/>
      </w:rPr>
    </w:lvl>
  </w:abstractNum>
  <w:abstractNum w:abstractNumId="1">
    <w:nsid w:val="024A5A6C"/>
    <w:multiLevelType w:val="singleLevel"/>
    <w:tmpl w:val="024A5A6C"/>
    <w:lvl w:ilvl="0" w:tentative="0">
      <w:start w:val="3"/>
      <w:numFmt w:val="decimal"/>
      <w:suff w:val="nothing"/>
      <w:lvlText w:val="%1、"/>
      <w:lvlJc w:val="left"/>
      <w:pPr>
        <w:ind w:left="-1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3E6028"/>
    <w:rsid w:val="02430315"/>
    <w:rsid w:val="03353615"/>
    <w:rsid w:val="05ED1D5C"/>
    <w:rsid w:val="075E096D"/>
    <w:rsid w:val="07EE658E"/>
    <w:rsid w:val="0F095A37"/>
    <w:rsid w:val="15A20866"/>
    <w:rsid w:val="1D97DEFF"/>
    <w:rsid w:val="1DFF72E5"/>
    <w:rsid w:val="1EFC6F07"/>
    <w:rsid w:val="216B07DD"/>
    <w:rsid w:val="221D6484"/>
    <w:rsid w:val="24D40947"/>
    <w:rsid w:val="274912B9"/>
    <w:rsid w:val="2A077EA1"/>
    <w:rsid w:val="2A8A1488"/>
    <w:rsid w:val="2DD12008"/>
    <w:rsid w:val="2FDF85B8"/>
    <w:rsid w:val="2FFFEE04"/>
    <w:rsid w:val="34DF85B0"/>
    <w:rsid w:val="3B7B2140"/>
    <w:rsid w:val="3B8F36BC"/>
    <w:rsid w:val="3C3E15E3"/>
    <w:rsid w:val="40024D1B"/>
    <w:rsid w:val="404B0E09"/>
    <w:rsid w:val="430F65C3"/>
    <w:rsid w:val="491FF225"/>
    <w:rsid w:val="4B7548A8"/>
    <w:rsid w:val="4DE46BA6"/>
    <w:rsid w:val="4FFD214C"/>
    <w:rsid w:val="571B001D"/>
    <w:rsid w:val="5777D4F5"/>
    <w:rsid w:val="587D0513"/>
    <w:rsid w:val="59DD8326"/>
    <w:rsid w:val="5AD73454"/>
    <w:rsid w:val="5DEF592A"/>
    <w:rsid w:val="5FC6BB1E"/>
    <w:rsid w:val="5FF720F1"/>
    <w:rsid w:val="67FF5C0B"/>
    <w:rsid w:val="68580609"/>
    <w:rsid w:val="6C9F4AA4"/>
    <w:rsid w:val="6E51728C"/>
    <w:rsid w:val="6EFC0924"/>
    <w:rsid w:val="6FB74722"/>
    <w:rsid w:val="6FEF8B7E"/>
    <w:rsid w:val="71A6591B"/>
    <w:rsid w:val="725C35AF"/>
    <w:rsid w:val="737D59BA"/>
    <w:rsid w:val="775D10E3"/>
    <w:rsid w:val="77C37683"/>
    <w:rsid w:val="79D19834"/>
    <w:rsid w:val="79FF515B"/>
    <w:rsid w:val="7A34668D"/>
    <w:rsid w:val="7BAC0511"/>
    <w:rsid w:val="7D55172E"/>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BodyText1I2"/>
    <w:basedOn w:val="3"/>
    <w:qFormat/>
    <w:uiPriority w:val="0"/>
    <w:pPr>
      <w:ind w:firstLine="200" w:firstLineChars="200"/>
    </w:pPr>
    <w:rPr>
      <w:sz w:val="20"/>
    </w:rPr>
  </w:style>
  <w:style w:type="paragraph" w:customStyle="1" w:styleId="3">
    <w:name w:val="BodyTextIndent"/>
    <w:basedOn w:val="1"/>
    <w:qFormat/>
    <w:uiPriority w:val="0"/>
    <w:pPr>
      <w:spacing w:after="120"/>
      <w:ind w:left="200" w:leftChars="200"/>
    </w:pPr>
  </w:style>
  <w:style w:type="paragraph" w:styleId="4">
    <w:name w:val="Body Text"/>
    <w:basedOn w:val="1"/>
    <w:next w:val="5"/>
    <w:qFormat/>
    <w:uiPriority w:val="0"/>
    <w:pPr>
      <w:spacing w:after="120"/>
    </w:pPr>
  </w:style>
  <w:style w:type="paragraph" w:customStyle="1" w:styleId="5">
    <w:name w:val="列出段落1"/>
    <w:basedOn w:val="1"/>
    <w:qFormat/>
    <w:uiPriority w:val="0"/>
    <w:pPr>
      <w:ind w:firstLine="420"/>
    </w:pPr>
    <w:rPr>
      <w:rFonts w:ascii="Times New Roman" w:hAnsi="Times New Roman"/>
    </w:rPr>
  </w:style>
  <w:style w:type="paragraph" w:styleId="6">
    <w:name w:val="Body Text Indent"/>
    <w:basedOn w:val="1"/>
    <w:next w:val="7"/>
    <w:unhideWhenUsed/>
    <w:qFormat/>
    <w:uiPriority w:val="99"/>
    <w:pPr>
      <w:widowControl/>
      <w:spacing w:after="120"/>
      <w:ind w:left="420" w:leftChars="200"/>
      <w:jc w:val="left"/>
    </w:pPr>
    <w:rPr>
      <w:rFonts w:ascii="宋体" w:hAnsi="宋体" w:eastAsia="宋体" w:cs="宋体"/>
      <w:kern w:val="0"/>
      <w:sz w:val="24"/>
    </w:rPr>
  </w:style>
  <w:style w:type="paragraph" w:styleId="7">
    <w:name w:val="Body Text First Indent 2"/>
    <w:basedOn w:val="6"/>
    <w:next w:val="1"/>
    <w:unhideWhenUsed/>
    <w:qFormat/>
    <w:uiPriority w:val="99"/>
    <w:pPr>
      <w:ind w:firstLine="420" w:firstLineChars="200"/>
    </w:pPr>
  </w:style>
  <w:style w:type="paragraph" w:styleId="8">
    <w:name w:val="Balloon Text"/>
    <w:basedOn w:val="1"/>
    <w:link w:val="19"/>
    <w:semiHidden/>
    <w:unhideWhenUsed/>
    <w:qFormat/>
    <w:uiPriority w:val="99"/>
    <w:rPr>
      <w:sz w:val="18"/>
      <w:szCs w:val="18"/>
    </w:rPr>
  </w:style>
  <w:style w:type="paragraph" w:styleId="9">
    <w:name w:val="footer"/>
    <w:basedOn w:val="1"/>
    <w:link w:val="16"/>
    <w:unhideWhenUsed/>
    <w:qFormat/>
    <w:uiPriority w:val="99"/>
    <w:pPr>
      <w:tabs>
        <w:tab w:val="center" w:pos="4153"/>
        <w:tab w:val="right" w:pos="8306"/>
      </w:tabs>
      <w:snapToGrid w:val="0"/>
      <w:jc w:val="left"/>
    </w:pPr>
    <w:rPr>
      <w:sz w:val="18"/>
      <w:szCs w:val="18"/>
    </w:rPr>
  </w:style>
  <w:style w:type="paragraph" w:styleId="10">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footnote text"/>
    <w:basedOn w:val="1"/>
    <w:next w:val="7"/>
    <w:semiHidden/>
    <w:qFormat/>
    <w:uiPriority w:val="0"/>
    <w:pPr>
      <w:snapToGrid w:val="0"/>
      <w:jc w:val="left"/>
    </w:pPr>
    <w:rPr>
      <w:sz w:val="18"/>
      <w:szCs w:val="18"/>
    </w:rPr>
  </w:style>
  <w:style w:type="paragraph" w:styleId="12">
    <w:name w:val="Body Text First Indent"/>
    <w:basedOn w:val="4"/>
    <w:qFormat/>
    <w:uiPriority w:val="0"/>
    <w:pPr>
      <w:adjustRightInd w:val="0"/>
      <w:snapToGrid w:val="0"/>
      <w:spacing w:line="579" w:lineRule="atLeast"/>
      <w:ind w:firstLine="100" w:firstLineChars="100"/>
    </w:pPr>
    <w:rPr>
      <w:rFonts w:ascii="Times New Roman" w:hAnsi="Times New Roman"/>
      <w:sz w:val="32"/>
    </w:rPr>
  </w:style>
  <w:style w:type="character" w:customStyle="1" w:styleId="15">
    <w:name w:val="页眉 Char"/>
    <w:basedOn w:val="14"/>
    <w:link w:val="10"/>
    <w:qFormat/>
    <w:uiPriority w:val="99"/>
    <w:rPr>
      <w:sz w:val="18"/>
      <w:szCs w:val="18"/>
    </w:rPr>
  </w:style>
  <w:style w:type="character" w:customStyle="1" w:styleId="16">
    <w:name w:val="页脚 Char"/>
    <w:basedOn w:val="14"/>
    <w:link w:val="9"/>
    <w:qFormat/>
    <w:uiPriority w:val="99"/>
    <w:rPr>
      <w:sz w:val="18"/>
      <w:szCs w:val="18"/>
    </w:rPr>
  </w:style>
  <w:style w:type="paragraph" w:customStyle="1" w:styleId="17">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8">
    <w:name w:val="List Paragraph"/>
    <w:basedOn w:val="1"/>
    <w:qFormat/>
    <w:uiPriority w:val="34"/>
    <w:pPr>
      <w:ind w:firstLine="420" w:firstLineChars="200"/>
    </w:pPr>
  </w:style>
  <w:style w:type="character" w:customStyle="1" w:styleId="19">
    <w:name w:val="批注框文本 Char"/>
    <w:basedOn w:val="14"/>
    <w:link w:val="8"/>
    <w:semiHidden/>
    <w:qFormat/>
    <w:uiPriority w:val="99"/>
    <w:rPr>
      <w:sz w:val="18"/>
      <w:szCs w:val="18"/>
    </w:rPr>
  </w:style>
  <w:style w:type="character" w:customStyle="1" w:styleId="20">
    <w:name w:val="font01"/>
    <w:basedOn w:val="14"/>
    <w:qFormat/>
    <w:uiPriority w:val="0"/>
    <w:rPr>
      <w:rFonts w:hint="eastAsia" w:ascii="宋体" w:hAnsi="宋体" w:eastAsia="宋体" w:cs="宋体"/>
      <w:color w:val="000000"/>
      <w:sz w:val="22"/>
      <w:szCs w:val="22"/>
      <w:u w:val="none"/>
    </w:rPr>
  </w:style>
  <w:style w:type="character" w:customStyle="1" w:styleId="21">
    <w:name w:val="font21"/>
    <w:basedOn w:val="14"/>
    <w:qFormat/>
    <w:uiPriority w:val="0"/>
    <w:rPr>
      <w:rFonts w:hint="eastAsia" w:ascii="宋体" w:hAnsi="宋体" w:eastAsia="宋体" w:cs="宋体"/>
      <w:color w:val="000000"/>
      <w:sz w:val="24"/>
      <w:szCs w:val="24"/>
      <w:u w:val="none"/>
    </w:rPr>
  </w:style>
  <w:style w:type="character" w:customStyle="1" w:styleId="22">
    <w:name w:val="font11"/>
    <w:basedOn w:val="14"/>
    <w:qFormat/>
    <w:uiPriority w:val="0"/>
    <w:rPr>
      <w:rFonts w:hint="eastAsia" w:ascii="宋体" w:hAnsi="宋体" w:eastAsia="宋体" w:cs="宋体"/>
      <w:color w:val="000000"/>
      <w:sz w:val="24"/>
      <w:szCs w:val="24"/>
      <w:u w:val="none"/>
    </w:rPr>
  </w:style>
  <w:style w:type="paragraph" w:customStyle="1" w:styleId="23">
    <w:name w:val="Body Text Indent 21"/>
    <w:basedOn w:val="1"/>
    <w:qFormat/>
    <w:uiPriority w:val="0"/>
    <w:pPr>
      <w:widowControl/>
      <w:overflowPunct w:val="0"/>
      <w:autoSpaceDE w:val="0"/>
      <w:autoSpaceDN w:val="0"/>
      <w:adjustRightInd w:val="0"/>
      <w:ind w:firstLine="555"/>
      <w:textAlignment w:val="baseline"/>
    </w:pPr>
    <w:rPr>
      <w:rFonts w:ascii="宋体" w:cs="Times New Roman"/>
      <w:spacing w:val="12"/>
      <w:kern w:val="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38</Pages>
  <Words>1587</Words>
  <Characters>1691</Characters>
  <Lines>69</Lines>
  <Paragraphs>19</Paragraphs>
  <TotalTime>12</TotalTime>
  <ScaleCrop>false</ScaleCrop>
  <LinksUpToDate>false</LinksUpToDate>
  <CharactersWithSpaces>1777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望星打卦</cp:lastModifiedBy>
  <cp:lastPrinted>2024-08-08T18:20:00Z</cp:lastPrinted>
  <dcterms:modified xsi:type="dcterms:W3CDTF">2025-12-04T06:27:17Z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BB7B6AA21D207914D6FDA268992A22D6</vt:lpwstr>
  </property>
  <property fmtid="{D5CDD505-2E9C-101B-9397-08002B2CF9AE}" pid="4" name="KSOTemplateDocerSaveRecord">
    <vt:lpwstr>eyJoZGlkIjoiOWQxZTgzOWM1OTBjNWIyZjI1YjNkZTk5YjVkOGVmNDQiLCJ1c2VySWQiOiIxNTU4MTM2MzMwIn0=</vt:lpwstr>
  </property>
</Properties>
</file>