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216E" w14:textId="77777777" w:rsidR="00A05420" w:rsidRPr="0062576C" w:rsidRDefault="002B6996" w:rsidP="002B6996">
      <w:pPr>
        <w:tabs>
          <w:tab w:val="left" w:pos="1470"/>
          <w:tab w:val="center" w:pos="6979"/>
        </w:tabs>
        <w:spacing w:line="900" w:lineRule="exact"/>
        <w:jc w:val="left"/>
        <w:rPr>
          <w:rFonts w:ascii="黑体" w:eastAsia="黑体" w:hAnsi="黑体" w:cs="仿宋"/>
          <w:bCs/>
          <w:sz w:val="32"/>
          <w:szCs w:val="32"/>
        </w:rPr>
      </w:pPr>
      <w:r w:rsidRPr="0062576C">
        <w:rPr>
          <w:rFonts w:ascii="黑体" w:eastAsia="黑体" w:hAnsi="黑体" w:cs="仿宋"/>
          <w:bCs/>
          <w:sz w:val="32"/>
          <w:szCs w:val="32"/>
        </w:rPr>
        <w:tab/>
      </w:r>
      <w:r w:rsidRPr="0062576C">
        <w:rPr>
          <w:rFonts w:ascii="黑体" w:eastAsia="黑体" w:hAnsi="黑体" w:cs="仿宋"/>
          <w:bCs/>
          <w:sz w:val="32"/>
          <w:szCs w:val="32"/>
        </w:rPr>
        <w:tab/>
      </w:r>
      <w:r w:rsidR="00545AC1" w:rsidRPr="0062576C">
        <w:rPr>
          <w:rFonts w:ascii="黑体" w:eastAsia="黑体" w:hAnsi="黑体" w:cs="仿宋" w:hint="eastAsia"/>
          <w:bCs/>
          <w:sz w:val="32"/>
          <w:szCs w:val="32"/>
        </w:rPr>
        <w:t>2021年蓝山县农业科技园区提质升级建设项目专项经费后补助分配表</w:t>
      </w:r>
    </w:p>
    <w:p w14:paraId="3B534C0F" w14:textId="293327DF" w:rsidR="00A05420" w:rsidRDefault="00545AC1">
      <w:pPr>
        <w:spacing w:line="900" w:lineRule="exact"/>
        <w:rPr>
          <w:rFonts w:ascii="楷体" w:eastAsia="楷体" w:hAnsi="楷体" w:cs="楷体"/>
          <w:b/>
          <w:bCs/>
          <w:sz w:val="28"/>
          <w:szCs w:val="28"/>
        </w:rPr>
      </w:pPr>
      <w:r>
        <w:rPr>
          <w:rFonts w:ascii="楷体" w:eastAsia="楷体" w:hAnsi="楷体" w:cs="楷体" w:hint="eastAsia"/>
          <w:b/>
          <w:bCs/>
          <w:sz w:val="28"/>
          <w:szCs w:val="28"/>
        </w:rPr>
        <w:t>填报单位：蓝山县科技和工业信息化局                                       填报时间：2021年08月2</w:t>
      </w:r>
      <w:r w:rsidR="000C3DF2">
        <w:rPr>
          <w:rFonts w:ascii="楷体" w:eastAsia="楷体" w:hAnsi="楷体" w:cs="楷体"/>
          <w:b/>
          <w:bCs/>
          <w:sz w:val="28"/>
          <w:szCs w:val="28"/>
        </w:rPr>
        <w:t>6</w:t>
      </w:r>
      <w:r>
        <w:rPr>
          <w:rFonts w:ascii="楷体" w:eastAsia="楷体" w:hAnsi="楷体" w:cs="楷体" w:hint="eastAsia"/>
          <w:b/>
          <w:bCs/>
          <w:sz w:val="28"/>
          <w:szCs w:val="28"/>
        </w:rPr>
        <w:t>日</w:t>
      </w:r>
    </w:p>
    <w:tbl>
      <w:tblPr>
        <w:tblStyle w:val="a5"/>
        <w:tblW w:w="14280" w:type="dxa"/>
        <w:jc w:val="center"/>
        <w:tblLayout w:type="fixed"/>
        <w:tblLook w:val="04A0" w:firstRow="1" w:lastRow="0" w:firstColumn="1" w:lastColumn="0" w:noHBand="0" w:noVBand="1"/>
      </w:tblPr>
      <w:tblGrid>
        <w:gridCol w:w="517"/>
        <w:gridCol w:w="2610"/>
        <w:gridCol w:w="3864"/>
        <w:gridCol w:w="999"/>
        <w:gridCol w:w="4569"/>
        <w:gridCol w:w="1164"/>
        <w:gridCol w:w="557"/>
      </w:tblGrid>
      <w:tr w:rsidR="00A05420" w14:paraId="2C3D0DAD" w14:textId="77777777">
        <w:trPr>
          <w:trHeight w:val="726"/>
          <w:jc w:val="center"/>
        </w:trPr>
        <w:tc>
          <w:tcPr>
            <w:tcW w:w="517" w:type="dxa"/>
            <w:vAlign w:val="center"/>
          </w:tcPr>
          <w:p w14:paraId="05999FCA" w14:textId="77777777" w:rsidR="00A05420" w:rsidRDefault="00545AC1">
            <w:pPr>
              <w:jc w:val="center"/>
              <w:rPr>
                <w:rFonts w:ascii="楷体" w:eastAsia="楷体" w:hAnsi="楷体" w:cs="楷体"/>
                <w:b/>
                <w:bCs/>
                <w:sz w:val="28"/>
                <w:szCs w:val="36"/>
              </w:rPr>
            </w:pPr>
            <w:r>
              <w:rPr>
                <w:rFonts w:ascii="楷体" w:eastAsia="楷体" w:hAnsi="楷体" w:cs="楷体" w:hint="eastAsia"/>
                <w:b/>
                <w:bCs/>
                <w:sz w:val="24"/>
                <w:szCs w:val="32"/>
              </w:rPr>
              <w:t>序号</w:t>
            </w:r>
          </w:p>
        </w:tc>
        <w:tc>
          <w:tcPr>
            <w:tcW w:w="2610" w:type="dxa"/>
            <w:vAlign w:val="center"/>
          </w:tcPr>
          <w:p w14:paraId="7193AEAB" w14:textId="77777777" w:rsidR="00A05420" w:rsidRDefault="00545AC1">
            <w:pPr>
              <w:jc w:val="center"/>
              <w:rPr>
                <w:b/>
                <w:bCs/>
              </w:rPr>
            </w:pPr>
            <w:r>
              <w:rPr>
                <w:rFonts w:hint="eastAsia"/>
                <w:b/>
                <w:bCs/>
              </w:rPr>
              <w:t>项</w:t>
            </w:r>
            <w:r>
              <w:rPr>
                <w:rFonts w:hint="eastAsia"/>
                <w:b/>
                <w:bCs/>
              </w:rPr>
              <w:t xml:space="preserve"> </w:t>
            </w:r>
            <w:r>
              <w:rPr>
                <w:rFonts w:hint="eastAsia"/>
                <w:b/>
                <w:bCs/>
              </w:rPr>
              <w:t>目</w:t>
            </w:r>
            <w:r>
              <w:rPr>
                <w:rFonts w:hint="eastAsia"/>
                <w:b/>
                <w:bCs/>
              </w:rPr>
              <w:t xml:space="preserve"> </w:t>
            </w:r>
            <w:r>
              <w:rPr>
                <w:rFonts w:hint="eastAsia"/>
                <w:b/>
                <w:bCs/>
              </w:rPr>
              <w:t>名</w:t>
            </w:r>
            <w:r>
              <w:rPr>
                <w:rFonts w:hint="eastAsia"/>
                <w:b/>
                <w:bCs/>
              </w:rPr>
              <w:t xml:space="preserve"> </w:t>
            </w:r>
            <w:r>
              <w:rPr>
                <w:rFonts w:hint="eastAsia"/>
                <w:b/>
                <w:bCs/>
              </w:rPr>
              <w:t>称</w:t>
            </w:r>
          </w:p>
        </w:tc>
        <w:tc>
          <w:tcPr>
            <w:tcW w:w="3864" w:type="dxa"/>
            <w:vAlign w:val="center"/>
          </w:tcPr>
          <w:p w14:paraId="49A0CF5B" w14:textId="77777777" w:rsidR="00A05420" w:rsidRDefault="00545AC1">
            <w:pPr>
              <w:jc w:val="center"/>
              <w:rPr>
                <w:b/>
                <w:bCs/>
              </w:rPr>
            </w:pPr>
            <w:r>
              <w:rPr>
                <w:rFonts w:hint="eastAsia"/>
                <w:b/>
                <w:bCs/>
              </w:rPr>
              <w:t>项</w:t>
            </w:r>
            <w:r>
              <w:rPr>
                <w:rFonts w:hint="eastAsia"/>
                <w:b/>
                <w:bCs/>
              </w:rPr>
              <w:t xml:space="preserve"> </w:t>
            </w:r>
            <w:r>
              <w:rPr>
                <w:rFonts w:hint="eastAsia"/>
                <w:b/>
                <w:bCs/>
              </w:rPr>
              <w:t>目</w:t>
            </w:r>
            <w:r>
              <w:rPr>
                <w:rFonts w:hint="eastAsia"/>
                <w:b/>
                <w:bCs/>
              </w:rPr>
              <w:t xml:space="preserve"> </w:t>
            </w:r>
            <w:r>
              <w:rPr>
                <w:rFonts w:hint="eastAsia"/>
                <w:b/>
                <w:bCs/>
              </w:rPr>
              <w:t>承</w:t>
            </w:r>
            <w:r>
              <w:rPr>
                <w:rFonts w:hint="eastAsia"/>
                <w:b/>
                <w:bCs/>
              </w:rPr>
              <w:t xml:space="preserve"> </w:t>
            </w:r>
            <w:r>
              <w:rPr>
                <w:rFonts w:hint="eastAsia"/>
                <w:b/>
                <w:bCs/>
              </w:rPr>
              <w:t>担</w:t>
            </w:r>
            <w:r>
              <w:rPr>
                <w:rFonts w:hint="eastAsia"/>
                <w:b/>
                <w:bCs/>
              </w:rPr>
              <w:t xml:space="preserve"> </w:t>
            </w:r>
            <w:r>
              <w:rPr>
                <w:rFonts w:hint="eastAsia"/>
                <w:b/>
                <w:bCs/>
              </w:rPr>
              <w:t>单</w:t>
            </w:r>
            <w:r>
              <w:rPr>
                <w:rFonts w:hint="eastAsia"/>
                <w:b/>
                <w:bCs/>
              </w:rPr>
              <w:t xml:space="preserve"> </w:t>
            </w:r>
            <w:r>
              <w:rPr>
                <w:rFonts w:hint="eastAsia"/>
                <w:b/>
                <w:bCs/>
              </w:rPr>
              <w:t>位</w:t>
            </w:r>
          </w:p>
        </w:tc>
        <w:tc>
          <w:tcPr>
            <w:tcW w:w="999" w:type="dxa"/>
            <w:vAlign w:val="center"/>
          </w:tcPr>
          <w:p w14:paraId="393FAC01" w14:textId="77777777" w:rsidR="00A05420" w:rsidRDefault="00545AC1">
            <w:pPr>
              <w:jc w:val="center"/>
              <w:rPr>
                <w:b/>
                <w:bCs/>
              </w:rPr>
            </w:pPr>
            <w:r>
              <w:rPr>
                <w:rFonts w:hint="eastAsia"/>
                <w:b/>
                <w:bCs/>
              </w:rPr>
              <w:t>项</w:t>
            </w:r>
            <w:r>
              <w:rPr>
                <w:rFonts w:hint="eastAsia"/>
                <w:b/>
                <w:bCs/>
              </w:rPr>
              <w:t xml:space="preserve">  </w:t>
            </w:r>
            <w:r>
              <w:rPr>
                <w:rFonts w:hint="eastAsia"/>
                <w:b/>
                <w:bCs/>
              </w:rPr>
              <w:t>目</w:t>
            </w:r>
          </w:p>
          <w:p w14:paraId="5AB662F3" w14:textId="77777777" w:rsidR="00A05420" w:rsidRDefault="00545AC1">
            <w:pPr>
              <w:jc w:val="center"/>
              <w:rPr>
                <w:b/>
                <w:bCs/>
              </w:rPr>
            </w:pPr>
            <w:r>
              <w:rPr>
                <w:rFonts w:hint="eastAsia"/>
                <w:b/>
                <w:bCs/>
              </w:rPr>
              <w:t>负责人</w:t>
            </w:r>
          </w:p>
        </w:tc>
        <w:tc>
          <w:tcPr>
            <w:tcW w:w="4569" w:type="dxa"/>
            <w:vAlign w:val="center"/>
          </w:tcPr>
          <w:p w14:paraId="21FEF426" w14:textId="77777777" w:rsidR="00A05420" w:rsidRDefault="00545AC1">
            <w:pPr>
              <w:jc w:val="center"/>
              <w:rPr>
                <w:b/>
                <w:bCs/>
              </w:rPr>
            </w:pPr>
            <w:r>
              <w:rPr>
                <w:rFonts w:hint="eastAsia"/>
                <w:b/>
                <w:bCs/>
              </w:rPr>
              <w:t>项</w:t>
            </w:r>
            <w:r>
              <w:rPr>
                <w:rFonts w:hint="eastAsia"/>
                <w:b/>
                <w:bCs/>
              </w:rPr>
              <w:t xml:space="preserve"> </w:t>
            </w:r>
            <w:r>
              <w:rPr>
                <w:rFonts w:hint="eastAsia"/>
                <w:b/>
                <w:bCs/>
              </w:rPr>
              <w:t>目</w:t>
            </w:r>
            <w:r>
              <w:rPr>
                <w:rFonts w:hint="eastAsia"/>
                <w:b/>
                <w:bCs/>
              </w:rPr>
              <w:t xml:space="preserve"> </w:t>
            </w:r>
            <w:r>
              <w:rPr>
                <w:rFonts w:hint="eastAsia"/>
                <w:b/>
                <w:bCs/>
              </w:rPr>
              <w:t>实</w:t>
            </w:r>
            <w:r>
              <w:rPr>
                <w:rFonts w:hint="eastAsia"/>
                <w:b/>
                <w:bCs/>
              </w:rPr>
              <w:t xml:space="preserve"> </w:t>
            </w:r>
            <w:r>
              <w:rPr>
                <w:rFonts w:hint="eastAsia"/>
                <w:b/>
                <w:bCs/>
              </w:rPr>
              <w:t>施</w:t>
            </w:r>
            <w:r>
              <w:rPr>
                <w:rFonts w:hint="eastAsia"/>
                <w:b/>
                <w:bCs/>
              </w:rPr>
              <w:t xml:space="preserve"> </w:t>
            </w:r>
            <w:r>
              <w:rPr>
                <w:rFonts w:hint="eastAsia"/>
                <w:b/>
                <w:bCs/>
              </w:rPr>
              <w:t>情</w:t>
            </w:r>
            <w:r>
              <w:rPr>
                <w:rFonts w:hint="eastAsia"/>
                <w:b/>
                <w:bCs/>
              </w:rPr>
              <w:t xml:space="preserve"> </w:t>
            </w:r>
            <w:r>
              <w:rPr>
                <w:rFonts w:hint="eastAsia"/>
                <w:b/>
                <w:bCs/>
              </w:rPr>
              <w:t>况</w:t>
            </w:r>
          </w:p>
        </w:tc>
        <w:tc>
          <w:tcPr>
            <w:tcW w:w="1164" w:type="dxa"/>
            <w:vAlign w:val="center"/>
          </w:tcPr>
          <w:p w14:paraId="4CE9108C" w14:textId="77777777" w:rsidR="00A05420" w:rsidRDefault="00545AC1">
            <w:pPr>
              <w:jc w:val="center"/>
              <w:rPr>
                <w:b/>
                <w:bCs/>
              </w:rPr>
            </w:pPr>
            <w:r>
              <w:rPr>
                <w:rFonts w:hint="eastAsia"/>
                <w:b/>
                <w:bCs/>
              </w:rPr>
              <w:t>拨付资金</w:t>
            </w:r>
          </w:p>
          <w:p w14:paraId="242CB449" w14:textId="77777777" w:rsidR="00A05420" w:rsidRDefault="00545AC1">
            <w:pPr>
              <w:jc w:val="center"/>
              <w:rPr>
                <w:b/>
                <w:bCs/>
              </w:rPr>
            </w:pPr>
            <w:r>
              <w:rPr>
                <w:rFonts w:hint="eastAsia"/>
                <w:b/>
                <w:bCs/>
              </w:rPr>
              <w:t>（万元）</w:t>
            </w:r>
          </w:p>
        </w:tc>
        <w:tc>
          <w:tcPr>
            <w:tcW w:w="557" w:type="dxa"/>
            <w:vAlign w:val="center"/>
          </w:tcPr>
          <w:p w14:paraId="620D1DCC" w14:textId="77777777" w:rsidR="00A05420" w:rsidRDefault="00545AC1">
            <w:pPr>
              <w:jc w:val="center"/>
              <w:rPr>
                <w:b/>
                <w:bCs/>
              </w:rPr>
            </w:pPr>
            <w:r>
              <w:rPr>
                <w:rFonts w:hint="eastAsia"/>
                <w:b/>
                <w:bCs/>
              </w:rPr>
              <w:t>备</w:t>
            </w:r>
            <w:r>
              <w:rPr>
                <w:rFonts w:hint="eastAsia"/>
                <w:b/>
                <w:bCs/>
              </w:rPr>
              <w:t xml:space="preserve">  </w:t>
            </w:r>
            <w:r>
              <w:rPr>
                <w:rFonts w:hint="eastAsia"/>
                <w:b/>
                <w:bCs/>
              </w:rPr>
              <w:t>注</w:t>
            </w:r>
          </w:p>
        </w:tc>
      </w:tr>
      <w:tr w:rsidR="00A05420" w14:paraId="2C491289" w14:textId="77777777">
        <w:trPr>
          <w:trHeight w:val="1181"/>
          <w:jc w:val="center"/>
        </w:trPr>
        <w:tc>
          <w:tcPr>
            <w:tcW w:w="517" w:type="dxa"/>
            <w:vMerge w:val="restart"/>
            <w:vAlign w:val="center"/>
          </w:tcPr>
          <w:p w14:paraId="3D427546" w14:textId="77777777" w:rsidR="00A05420" w:rsidRDefault="00545AC1">
            <w:pPr>
              <w:rPr>
                <w:rFonts w:ascii="楷体" w:eastAsia="楷体" w:hAnsi="楷体" w:cs="楷体"/>
                <w:b/>
                <w:bCs/>
                <w:sz w:val="28"/>
                <w:szCs w:val="36"/>
              </w:rPr>
            </w:pPr>
            <w:r>
              <w:rPr>
                <w:rFonts w:ascii="楷体" w:eastAsia="楷体" w:hAnsi="楷体" w:cs="楷体" w:hint="eastAsia"/>
                <w:b/>
                <w:bCs/>
                <w:sz w:val="28"/>
                <w:szCs w:val="36"/>
              </w:rPr>
              <w:t>01</w:t>
            </w:r>
          </w:p>
        </w:tc>
        <w:tc>
          <w:tcPr>
            <w:tcW w:w="2610" w:type="dxa"/>
            <w:vMerge w:val="restart"/>
            <w:vAlign w:val="center"/>
          </w:tcPr>
          <w:p w14:paraId="3999C696" w14:textId="77777777" w:rsidR="00A05420" w:rsidRDefault="00545AC1">
            <w:pPr>
              <w:spacing w:line="320" w:lineRule="exact"/>
              <w:rPr>
                <w:rFonts w:ascii="楷体" w:eastAsia="楷体" w:hAnsi="楷体" w:cs="楷体"/>
                <w:b/>
                <w:bCs/>
                <w:sz w:val="28"/>
                <w:szCs w:val="28"/>
              </w:rPr>
            </w:pPr>
            <w:r>
              <w:rPr>
                <w:rFonts w:ascii="楷体" w:eastAsia="楷体" w:hAnsi="楷体" w:cs="楷体" w:hint="eastAsia"/>
                <w:b/>
                <w:bCs/>
                <w:sz w:val="28"/>
                <w:szCs w:val="28"/>
              </w:rPr>
              <w:t>夏黑葡萄高产高效栽培技术示范与推广</w:t>
            </w:r>
          </w:p>
        </w:tc>
        <w:tc>
          <w:tcPr>
            <w:tcW w:w="3864" w:type="dxa"/>
            <w:vAlign w:val="center"/>
          </w:tcPr>
          <w:p w14:paraId="5B643F42" w14:textId="77777777" w:rsidR="00A05420" w:rsidRDefault="00545AC1">
            <w:r>
              <w:rPr>
                <w:rFonts w:hint="eastAsia"/>
              </w:rPr>
              <w:t>蓝山博亿农业开发有限公司</w:t>
            </w:r>
          </w:p>
        </w:tc>
        <w:tc>
          <w:tcPr>
            <w:tcW w:w="999" w:type="dxa"/>
            <w:vAlign w:val="center"/>
          </w:tcPr>
          <w:p w14:paraId="2FDBADDB" w14:textId="77777777" w:rsidR="00A05420" w:rsidRDefault="00545AC1">
            <w:pPr>
              <w:jc w:val="center"/>
            </w:pPr>
            <w:r>
              <w:rPr>
                <w:rFonts w:hint="eastAsia"/>
              </w:rPr>
              <w:t>彭才庆</w:t>
            </w:r>
          </w:p>
        </w:tc>
        <w:tc>
          <w:tcPr>
            <w:tcW w:w="4569" w:type="dxa"/>
            <w:vMerge w:val="restart"/>
            <w:vAlign w:val="center"/>
          </w:tcPr>
          <w:p w14:paraId="19A96D19" w14:textId="77777777" w:rsidR="00A05420" w:rsidRDefault="00545AC1">
            <w:r>
              <w:rPr>
                <w:rFonts w:hint="eastAsia"/>
              </w:rPr>
              <w:t>（</w:t>
            </w:r>
            <w:r>
              <w:rPr>
                <w:rFonts w:hint="eastAsia"/>
              </w:rPr>
              <w:t>1</w:t>
            </w:r>
            <w:r>
              <w:rPr>
                <w:rFonts w:hint="eastAsia"/>
              </w:rPr>
              <w:t>）建设丰产优质夏黑葡萄标准示范基地</w:t>
            </w:r>
            <w:r>
              <w:rPr>
                <w:rFonts w:hint="eastAsia"/>
              </w:rPr>
              <w:t>800</w:t>
            </w:r>
            <w:r>
              <w:rPr>
                <w:rFonts w:hint="eastAsia"/>
              </w:rPr>
              <w:t>亩，夏黑葡萄优质果品率达</w:t>
            </w:r>
            <w:r>
              <w:rPr>
                <w:rFonts w:hint="eastAsia"/>
              </w:rPr>
              <w:t>90</w:t>
            </w:r>
            <w:r>
              <w:rPr>
                <w:rFonts w:hint="eastAsia"/>
              </w:rPr>
              <w:t>％以上，产量增加</w:t>
            </w:r>
            <w:r>
              <w:rPr>
                <w:rFonts w:hint="eastAsia"/>
              </w:rPr>
              <w:t>30</w:t>
            </w:r>
            <w:r>
              <w:rPr>
                <w:rFonts w:hint="eastAsia"/>
              </w:rPr>
              <w:t>％以上。（</w:t>
            </w:r>
            <w:r>
              <w:rPr>
                <w:rFonts w:hint="eastAsia"/>
              </w:rPr>
              <w:t>2</w:t>
            </w:r>
            <w:r>
              <w:rPr>
                <w:rFonts w:hint="eastAsia"/>
              </w:rPr>
              <w:t>）制定夏黑葡萄苗木繁殖技术、优质高效丰产栽培技术、采后技术等规范标准或规范。（</w:t>
            </w:r>
            <w:r>
              <w:rPr>
                <w:rFonts w:hint="eastAsia"/>
              </w:rPr>
              <w:t>3</w:t>
            </w:r>
            <w:r>
              <w:rPr>
                <w:rFonts w:hint="eastAsia"/>
              </w:rPr>
              <w:t>）通过示范园展示、技术宣传、技术培训以及科学规划，将夏黑葡萄化高产高效栽培技术在全县及周边地区推广，推广面积达到</w:t>
            </w:r>
            <w:r>
              <w:rPr>
                <w:rFonts w:hint="eastAsia"/>
              </w:rPr>
              <w:t>4000</w:t>
            </w:r>
            <w:r>
              <w:rPr>
                <w:rFonts w:hint="eastAsia"/>
              </w:rPr>
              <w:t>亩以上。</w:t>
            </w:r>
          </w:p>
        </w:tc>
        <w:tc>
          <w:tcPr>
            <w:tcW w:w="1164" w:type="dxa"/>
            <w:vAlign w:val="center"/>
          </w:tcPr>
          <w:p w14:paraId="13CB16F3" w14:textId="77777777" w:rsidR="00A05420" w:rsidRDefault="00545AC1">
            <w:pPr>
              <w:jc w:val="center"/>
            </w:pPr>
            <w:r>
              <w:rPr>
                <w:rFonts w:hint="eastAsia"/>
              </w:rPr>
              <w:t>5</w:t>
            </w:r>
          </w:p>
        </w:tc>
        <w:tc>
          <w:tcPr>
            <w:tcW w:w="557" w:type="dxa"/>
            <w:vAlign w:val="center"/>
          </w:tcPr>
          <w:p w14:paraId="713C2AF6" w14:textId="77777777" w:rsidR="00A05420" w:rsidRDefault="00A05420">
            <w:pPr>
              <w:jc w:val="center"/>
            </w:pPr>
          </w:p>
        </w:tc>
      </w:tr>
      <w:tr w:rsidR="00A05420" w14:paraId="5E584B58" w14:textId="77777777">
        <w:trPr>
          <w:trHeight w:val="774"/>
          <w:jc w:val="center"/>
        </w:trPr>
        <w:tc>
          <w:tcPr>
            <w:tcW w:w="517" w:type="dxa"/>
            <w:vMerge/>
            <w:vAlign w:val="center"/>
          </w:tcPr>
          <w:p w14:paraId="0A58CC4B" w14:textId="77777777" w:rsidR="00A05420" w:rsidRDefault="00A05420">
            <w:pPr>
              <w:jc w:val="center"/>
              <w:rPr>
                <w:rFonts w:ascii="楷体" w:eastAsia="楷体" w:hAnsi="楷体" w:cs="楷体"/>
                <w:b/>
                <w:bCs/>
                <w:sz w:val="28"/>
                <w:szCs w:val="36"/>
              </w:rPr>
            </w:pPr>
          </w:p>
        </w:tc>
        <w:tc>
          <w:tcPr>
            <w:tcW w:w="2610" w:type="dxa"/>
            <w:vMerge/>
            <w:vAlign w:val="center"/>
          </w:tcPr>
          <w:p w14:paraId="0BA20768" w14:textId="77777777" w:rsidR="00A05420" w:rsidRDefault="00A05420">
            <w:pPr>
              <w:spacing w:line="320" w:lineRule="exact"/>
              <w:rPr>
                <w:rFonts w:ascii="楷体" w:eastAsia="楷体" w:hAnsi="楷体" w:cs="楷体"/>
                <w:b/>
                <w:bCs/>
                <w:sz w:val="28"/>
                <w:szCs w:val="28"/>
              </w:rPr>
            </w:pPr>
          </w:p>
        </w:tc>
        <w:tc>
          <w:tcPr>
            <w:tcW w:w="3864" w:type="dxa"/>
            <w:vAlign w:val="center"/>
          </w:tcPr>
          <w:p w14:paraId="6202D00F" w14:textId="77777777" w:rsidR="00A05420" w:rsidRDefault="00545AC1">
            <w:r>
              <w:t>蓝山县</w:t>
            </w:r>
            <w:r>
              <w:rPr>
                <w:rFonts w:hint="eastAsia"/>
              </w:rPr>
              <w:t>花果庄园农业开发有限责任公司</w:t>
            </w:r>
          </w:p>
        </w:tc>
        <w:tc>
          <w:tcPr>
            <w:tcW w:w="999" w:type="dxa"/>
            <w:vAlign w:val="center"/>
          </w:tcPr>
          <w:p w14:paraId="20F4C0E5" w14:textId="77777777" w:rsidR="00A05420" w:rsidRDefault="00545AC1">
            <w:pPr>
              <w:jc w:val="center"/>
            </w:pPr>
            <w:r>
              <w:rPr>
                <w:rFonts w:hint="eastAsia"/>
              </w:rPr>
              <w:t>彭</w:t>
            </w:r>
            <w:r>
              <w:rPr>
                <w:rFonts w:hint="eastAsia"/>
              </w:rPr>
              <w:t xml:space="preserve">  </w:t>
            </w:r>
            <w:r>
              <w:rPr>
                <w:rFonts w:hint="eastAsia"/>
              </w:rPr>
              <w:t>申</w:t>
            </w:r>
          </w:p>
        </w:tc>
        <w:tc>
          <w:tcPr>
            <w:tcW w:w="4569" w:type="dxa"/>
            <w:vMerge/>
            <w:vAlign w:val="center"/>
          </w:tcPr>
          <w:p w14:paraId="6898C4D1" w14:textId="77777777" w:rsidR="00A05420" w:rsidRDefault="00A05420">
            <w:pPr>
              <w:jc w:val="center"/>
            </w:pPr>
          </w:p>
        </w:tc>
        <w:tc>
          <w:tcPr>
            <w:tcW w:w="1164" w:type="dxa"/>
            <w:vAlign w:val="center"/>
          </w:tcPr>
          <w:p w14:paraId="47C36589" w14:textId="77777777" w:rsidR="00A05420" w:rsidRDefault="00545AC1">
            <w:pPr>
              <w:jc w:val="center"/>
            </w:pPr>
            <w:r>
              <w:rPr>
                <w:rFonts w:hint="eastAsia"/>
              </w:rPr>
              <w:t>5</w:t>
            </w:r>
          </w:p>
        </w:tc>
        <w:tc>
          <w:tcPr>
            <w:tcW w:w="557" w:type="dxa"/>
            <w:vAlign w:val="center"/>
          </w:tcPr>
          <w:p w14:paraId="2E1B09EB" w14:textId="77777777" w:rsidR="00A05420" w:rsidRDefault="00A05420">
            <w:pPr>
              <w:jc w:val="center"/>
            </w:pPr>
          </w:p>
        </w:tc>
      </w:tr>
      <w:tr w:rsidR="00A05420" w14:paraId="027E63B4" w14:textId="77777777">
        <w:trPr>
          <w:trHeight w:val="510"/>
          <w:jc w:val="center"/>
        </w:trPr>
        <w:tc>
          <w:tcPr>
            <w:tcW w:w="517" w:type="dxa"/>
            <w:vMerge w:val="restart"/>
            <w:vAlign w:val="center"/>
          </w:tcPr>
          <w:p w14:paraId="7C4F5A0A" w14:textId="77777777" w:rsidR="00A05420" w:rsidRDefault="00545AC1">
            <w:pPr>
              <w:jc w:val="center"/>
              <w:rPr>
                <w:rFonts w:ascii="楷体" w:eastAsia="楷体" w:hAnsi="楷体" w:cs="楷体"/>
                <w:b/>
                <w:bCs/>
                <w:sz w:val="28"/>
                <w:szCs w:val="36"/>
              </w:rPr>
            </w:pPr>
            <w:r>
              <w:rPr>
                <w:rFonts w:ascii="楷体" w:eastAsia="楷体" w:hAnsi="楷体" w:cs="楷体" w:hint="eastAsia"/>
                <w:b/>
                <w:bCs/>
                <w:sz w:val="28"/>
                <w:szCs w:val="36"/>
              </w:rPr>
              <w:t>02</w:t>
            </w:r>
          </w:p>
        </w:tc>
        <w:tc>
          <w:tcPr>
            <w:tcW w:w="2610" w:type="dxa"/>
            <w:vMerge w:val="restart"/>
            <w:vAlign w:val="center"/>
          </w:tcPr>
          <w:p w14:paraId="0B3E2121" w14:textId="77777777" w:rsidR="00A05420" w:rsidRDefault="00545AC1">
            <w:pPr>
              <w:spacing w:line="320" w:lineRule="exact"/>
              <w:rPr>
                <w:rFonts w:ascii="楷体" w:eastAsia="楷体" w:hAnsi="楷体" w:cs="楷体"/>
                <w:sz w:val="28"/>
                <w:szCs w:val="28"/>
              </w:rPr>
            </w:pPr>
            <w:r>
              <w:rPr>
                <w:rFonts w:ascii="楷体" w:eastAsia="楷体" w:hAnsi="楷体" w:cs="楷体" w:hint="eastAsia"/>
                <w:b/>
                <w:bCs/>
                <w:color w:val="000000"/>
                <w:sz w:val="28"/>
                <w:szCs w:val="28"/>
              </w:rPr>
              <w:t>猕猴桃高质高产高效栽培技术示范与推广</w:t>
            </w:r>
          </w:p>
        </w:tc>
        <w:tc>
          <w:tcPr>
            <w:tcW w:w="3864" w:type="dxa"/>
            <w:vAlign w:val="center"/>
          </w:tcPr>
          <w:p w14:paraId="6989AD40" w14:textId="77777777" w:rsidR="00A05420" w:rsidRDefault="00545AC1">
            <w:r>
              <w:rPr>
                <w:rFonts w:hint="eastAsia"/>
              </w:rPr>
              <w:t>蓝山县合美果业种植专业合作社</w:t>
            </w:r>
          </w:p>
        </w:tc>
        <w:tc>
          <w:tcPr>
            <w:tcW w:w="999" w:type="dxa"/>
            <w:vAlign w:val="center"/>
          </w:tcPr>
          <w:p w14:paraId="61C86E47" w14:textId="77777777" w:rsidR="00A05420" w:rsidRDefault="00545AC1">
            <w:pPr>
              <w:jc w:val="center"/>
            </w:pPr>
            <w:r>
              <w:rPr>
                <w:rFonts w:hint="eastAsia"/>
              </w:rPr>
              <w:t>黄美高</w:t>
            </w:r>
          </w:p>
        </w:tc>
        <w:tc>
          <w:tcPr>
            <w:tcW w:w="4569" w:type="dxa"/>
            <w:vMerge w:val="restart"/>
            <w:vAlign w:val="center"/>
          </w:tcPr>
          <w:p w14:paraId="613B8790" w14:textId="77777777" w:rsidR="00A05420" w:rsidRDefault="00545AC1">
            <w:r>
              <w:rPr>
                <w:rFonts w:hint="eastAsia"/>
              </w:rPr>
              <w:t>（</w:t>
            </w:r>
            <w:r>
              <w:rPr>
                <w:rFonts w:hint="eastAsia"/>
              </w:rPr>
              <w:t>1</w:t>
            </w:r>
            <w:r>
              <w:rPr>
                <w:rFonts w:hint="eastAsia"/>
              </w:rPr>
              <w:t>）引入红阳、翠香、翠玉等优良品种作主栽品种。（</w:t>
            </w:r>
            <w:r>
              <w:rPr>
                <w:rFonts w:hint="eastAsia"/>
              </w:rPr>
              <w:t>2</w:t>
            </w:r>
            <w:r>
              <w:rPr>
                <w:rFonts w:hint="eastAsia"/>
              </w:rPr>
              <w:t>）实行无公害栽培，在栽培管理中严格按照绿色食品栽培的要求实施，特别是在水肥管理中采用肥水一体化的要求进行；在农药的使用上，严格按国家标准和规程进行，保证生产的产品实现高产、优质、绿色、高效。</w:t>
            </w:r>
          </w:p>
        </w:tc>
        <w:tc>
          <w:tcPr>
            <w:tcW w:w="1164" w:type="dxa"/>
            <w:vAlign w:val="center"/>
          </w:tcPr>
          <w:p w14:paraId="43CC7D1F" w14:textId="77777777" w:rsidR="00A05420" w:rsidRDefault="00545AC1">
            <w:pPr>
              <w:jc w:val="center"/>
            </w:pPr>
            <w:r>
              <w:rPr>
                <w:rFonts w:hint="eastAsia"/>
              </w:rPr>
              <w:t>5</w:t>
            </w:r>
          </w:p>
        </w:tc>
        <w:tc>
          <w:tcPr>
            <w:tcW w:w="557" w:type="dxa"/>
            <w:vAlign w:val="center"/>
          </w:tcPr>
          <w:p w14:paraId="16E8F7FD" w14:textId="77777777" w:rsidR="00A05420" w:rsidRDefault="00A05420">
            <w:pPr>
              <w:jc w:val="center"/>
            </w:pPr>
          </w:p>
        </w:tc>
      </w:tr>
      <w:tr w:rsidR="00A05420" w14:paraId="6CBB2CF4" w14:textId="77777777">
        <w:trPr>
          <w:trHeight w:val="466"/>
          <w:jc w:val="center"/>
        </w:trPr>
        <w:tc>
          <w:tcPr>
            <w:tcW w:w="517" w:type="dxa"/>
            <w:vMerge/>
            <w:vAlign w:val="center"/>
          </w:tcPr>
          <w:p w14:paraId="45C3AC1C" w14:textId="77777777" w:rsidR="00A05420" w:rsidRDefault="00A05420">
            <w:pPr>
              <w:jc w:val="center"/>
              <w:rPr>
                <w:rFonts w:ascii="楷体" w:eastAsia="楷体" w:hAnsi="楷体" w:cs="楷体"/>
                <w:b/>
                <w:bCs/>
                <w:sz w:val="28"/>
                <w:szCs w:val="36"/>
              </w:rPr>
            </w:pPr>
          </w:p>
        </w:tc>
        <w:tc>
          <w:tcPr>
            <w:tcW w:w="2610" w:type="dxa"/>
            <w:vMerge/>
            <w:vAlign w:val="center"/>
          </w:tcPr>
          <w:p w14:paraId="7EAE7F18" w14:textId="77777777" w:rsidR="00A05420" w:rsidRDefault="00A05420">
            <w:pPr>
              <w:spacing w:line="320" w:lineRule="exact"/>
              <w:rPr>
                <w:rFonts w:ascii="楷体" w:eastAsia="楷体" w:hAnsi="楷体" w:cs="楷体"/>
                <w:b/>
                <w:bCs/>
                <w:color w:val="000000"/>
                <w:sz w:val="28"/>
                <w:szCs w:val="28"/>
              </w:rPr>
            </w:pPr>
          </w:p>
        </w:tc>
        <w:tc>
          <w:tcPr>
            <w:tcW w:w="3864" w:type="dxa"/>
            <w:vAlign w:val="center"/>
          </w:tcPr>
          <w:p w14:paraId="074EB329" w14:textId="77777777" w:rsidR="00A05420" w:rsidRDefault="00545AC1">
            <w:r>
              <w:rPr>
                <w:rFonts w:hint="eastAsia"/>
              </w:rPr>
              <w:t>湖南省泽高生态农业有限公司</w:t>
            </w:r>
          </w:p>
        </w:tc>
        <w:tc>
          <w:tcPr>
            <w:tcW w:w="999" w:type="dxa"/>
            <w:vAlign w:val="center"/>
          </w:tcPr>
          <w:p w14:paraId="713BCDAF" w14:textId="77777777" w:rsidR="00A05420" w:rsidRDefault="00545AC1">
            <w:pPr>
              <w:jc w:val="center"/>
            </w:pPr>
            <w:r>
              <w:rPr>
                <w:rFonts w:hint="eastAsia"/>
              </w:rPr>
              <w:t>曾胜斌</w:t>
            </w:r>
          </w:p>
        </w:tc>
        <w:tc>
          <w:tcPr>
            <w:tcW w:w="4569" w:type="dxa"/>
            <w:vMerge/>
            <w:vAlign w:val="center"/>
          </w:tcPr>
          <w:p w14:paraId="1E4EAFB5" w14:textId="77777777" w:rsidR="00A05420" w:rsidRDefault="00A05420">
            <w:pPr>
              <w:jc w:val="center"/>
            </w:pPr>
          </w:p>
        </w:tc>
        <w:tc>
          <w:tcPr>
            <w:tcW w:w="1164" w:type="dxa"/>
            <w:vAlign w:val="center"/>
          </w:tcPr>
          <w:p w14:paraId="4BB7736B" w14:textId="77777777" w:rsidR="00A05420" w:rsidRDefault="00545AC1">
            <w:pPr>
              <w:jc w:val="center"/>
            </w:pPr>
            <w:r>
              <w:rPr>
                <w:rFonts w:hint="eastAsia"/>
              </w:rPr>
              <w:t>5</w:t>
            </w:r>
          </w:p>
        </w:tc>
        <w:tc>
          <w:tcPr>
            <w:tcW w:w="557" w:type="dxa"/>
            <w:vAlign w:val="center"/>
          </w:tcPr>
          <w:p w14:paraId="57D3A058" w14:textId="77777777" w:rsidR="00A05420" w:rsidRDefault="00A05420">
            <w:pPr>
              <w:jc w:val="center"/>
            </w:pPr>
          </w:p>
        </w:tc>
      </w:tr>
      <w:tr w:rsidR="00A05420" w14:paraId="543B6B1E" w14:textId="77777777">
        <w:trPr>
          <w:trHeight w:val="740"/>
          <w:jc w:val="center"/>
        </w:trPr>
        <w:tc>
          <w:tcPr>
            <w:tcW w:w="517" w:type="dxa"/>
            <w:vAlign w:val="center"/>
          </w:tcPr>
          <w:p w14:paraId="63B87670" w14:textId="77777777" w:rsidR="00A05420" w:rsidRDefault="00545AC1">
            <w:pPr>
              <w:jc w:val="center"/>
              <w:rPr>
                <w:rFonts w:ascii="楷体" w:eastAsia="楷体" w:hAnsi="楷体" w:cs="楷体"/>
                <w:b/>
                <w:bCs/>
                <w:sz w:val="28"/>
                <w:szCs w:val="36"/>
              </w:rPr>
            </w:pPr>
            <w:r>
              <w:rPr>
                <w:rFonts w:ascii="楷体" w:eastAsia="楷体" w:hAnsi="楷体" w:cs="楷体" w:hint="eastAsia"/>
                <w:b/>
                <w:bCs/>
                <w:sz w:val="28"/>
                <w:szCs w:val="36"/>
              </w:rPr>
              <w:t>03</w:t>
            </w:r>
          </w:p>
        </w:tc>
        <w:tc>
          <w:tcPr>
            <w:tcW w:w="2610" w:type="dxa"/>
            <w:vAlign w:val="center"/>
          </w:tcPr>
          <w:p w14:paraId="36A492CF" w14:textId="77777777" w:rsidR="00A05420" w:rsidRDefault="00545AC1">
            <w:pPr>
              <w:spacing w:line="320" w:lineRule="exact"/>
              <w:rPr>
                <w:rFonts w:ascii="楷体" w:eastAsia="楷体" w:hAnsi="楷体" w:cs="楷体"/>
                <w:sz w:val="28"/>
                <w:szCs w:val="28"/>
              </w:rPr>
            </w:pPr>
            <w:r>
              <w:rPr>
                <w:rFonts w:ascii="楷体" w:eastAsia="楷体" w:hAnsi="楷体" w:cs="楷体" w:hint="eastAsia"/>
                <w:b/>
                <w:bCs/>
                <w:color w:val="000000"/>
                <w:sz w:val="28"/>
                <w:szCs w:val="28"/>
              </w:rPr>
              <w:t>有机蔬菜高产高效栽培技术示范与推广</w:t>
            </w:r>
          </w:p>
        </w:tc>
        <w:tc>
          <w:tcPr>
            <w:tcW w:w="3864" w:type="dxa"/>
            <w:vAlign w:val="center"/>
          </w:tcPr>
          <w:p w14:paraId="62A0ED28" w14:textId="77777777" w:rsidR="00A05420" w:rsidRDefault="00545AC1">
            <w:r>
              <w:rPr>
                <w:rFonts w:hint="eastAsia"/>
              </w:rPr>
              <w:t>蓝山县绿色时代农业发展有限公司</w:t>
            </w:r>
          </w:p>
        </w:tc>
        <w:tc>
          <w:tcPr>
            <w:tcW w:w="999" w:type="dxa"/>
            <w:vAlign w:val="center"/>
          </w:tcPr>
          <w:p w14:paraId="52B70F31" w14:textId="77777777" w:rsidR="00A05420" w:rsidRDefault="00545AC1">
            <w:pPr>
              <w:jc w:val="center"/>
            </w:pPr>
            <w:r>
              <w:rPr>
                <w:rFonts w:hint="eastAsia"/>
              </w:rPr>
              <w:t>黄</w:t>
            </w:r>
            <w:r>
              <w:rPr>
                <w:rFonts w:hint="eastAsia"/>
              </w:rPr>
              <w:t xml:space="preserve">  </w:t>
            </w:r>
            <w:r>
              <w:rPr>
                <w:rFonts w:hint="eastAsia"/>
              </w:rPr>
              <w:t>伟</w:t>
            </w:r>
          </w:p>
        </w:tc>
        <w:tc>
          <w:tcPr>
            <w:tcW w:w="4569" w:type="dxa"/>
            <w:vAlign w:val="center"/>
          </w:tcPr>
          <w:p w14:paraId="53CEA7B6" w14:textId="77777777" w:rsidR="00A05420" w:rsidRDefault="00545AC1">
            <w:r>
              <w:rPr>
                <w:rFonts w:hint="eastAsia"/>
              </w:rPr>
              <w:t>（</w:t>
            </w:r>
            <w:r>
              <w:rPr>
                <w:rFonts w:hint="eastAsia"/>
              </w:rPr>
              <w:t>1</w:t>
            </w:r>
            <w:r>
              <w:rPr>
                <w:rFonts w:hint="eastAsia"/>
              </w:rPr>
              <w:t>）引进</w:t>
            </w:r>
            <w:r>
              <w:rPr>
                <w:rFonts w:hint="eastAsia"/>
              </w:rPr>
              <w:t>4</w:t>
            </w:r>
            <w:r>
              <w:rPr>
                <w:rFonts w:hint="eastAsia"/>
              </w:rPr>
              <w:t>个适合蓝山生态区生产和消费习惯的辣椒新品种及其配套的栽培技术，春提早辣椒提早上市</w:t>
            </w:r>
            <w:r>
              <w:rPr>
                <w:rFonts w:hint="eastAsia"/>
              </w:rPr>
              <w:t>20</w:t>
            </w:r>
            <w:r>
              <w:rPr>
                <w:rFonts w:hint="eastAsia"/>
              </w:rPr>
              <w:t>天，秋延迟辣椒延迟到元旦春节上</w:t>
            </w:r>
            <w:r>
              <w:rPr>
                <w:rFonts w:hint="eastAsia"/>
              </w:rPr>
              <w:lastRenderedPageBreak/>
              <w:t>市。（</w:t>
            </w:r>
            <w:r>
              <w:rPr>
                <w:rFonts w:hint="eastAsia"/>
              </w:rPr>
              <w:t>2</w:t>
            </w:r>
            <w:r>
              <w:rPr>
                <w:rFonts w:hint="eastAsia"/>
              </w:rPr>
              <w:t>）引入全天候生态育苗机系统、介质栽培、自动化水肥管理系统、储存技术，达到一年四季全天候育苗机种植反季节蔬菜，大量减少病虫害发生率。（</w:t>
            </w:r>
            <w:r>
              <w:rPr>
                <w:rFonts w:hint="eastAsia"/>
              </w:rPr>
              <w:t>3</w:t>
            </w:r>
            <w:r>
              <w:rPr>
                <w:rFonts w:hint="eastAsia"/>
              </w:rPr>
              <w:t>）开发利用野菜野生资源，引进</w:t>
            </w:r>
            <w:r>
              <w:rPr>
                <w:rFonts w:hint="eastAsia"/>
              </w:rPr>
              <w:t>2</w:t>
            </w:r>
            <w:r>
              <w:rPr>
                <w:rFonts w:hint="eastAsia"/>
              </w:rPr>
              <w:t>个新品种，当地培育</w:t>
            </w:r>
            <w:r>
              <w:rPr>
                <w:rFonts w:hint="eastAsia"/>
              </w:rPr>
              <w:t>6</w:t>
            </w:r>
            <w:r>
              <w:rPr>
                <w:rFonts w:hint="eastAsia"/>
              </w:rPr>
              <w:t>个品种。</w:t>
            </w:r>
          </w:p>
        </w:tc>
        <w:tc>
          <w:tcPr>
            <w:tcW w:w="1164" w:type="dxa"/>
            <w:vAlign w:val="center"/>
          </w:tcPr>
          <w:p w14:paraId="3A04D3F3" w14:textId="77777777" w:rsidR="00A05420" w:rsidRDefault="00545AC1">
            <w:pPr>
              <w:jc w:val="center"/>
            </w:pPr>
            <w:r>
              <w:rPr>
                <w:rFonts w:hint="eastAsia"/>
              </w:rPr>
              <w:lastRenderedPageBreak/>
              <w:t>5</w:t>
            </w:r>
          </w:p>
        </w:tc>
        <w:tc>
          <w:tcPr>
            <w:tcW w:w="557" w:type="dxa"/>
            <w:vAlign w:val="center"/>
          </w:tcPr>
          <w:p w14:paraId="6643DB28" w14:textId="77777777" w:rsidR="00A05420" w:rsidRDefault="00A05420">
            <w:pPr>
              <w:jc w:val="center"/>
            </w:pPr>
          </w:p>
        </w:tc>
      </w:tr>
      <w:tr w:rsidR="00A05420" w14:paraId="39CDB0EF" w14:textId="77777777">
        <w:trPr>
          <w:trHeight w:val="740"/>
          <w:jc w:val="center"/>
        </w:trPr>
        <w:tc>
          <w:tcPr>
            <w:tcW w:w="517" w:type="dxa"/>
            <w:vAlign w:val="center"/>
          </w:tcPr>
          <w:p w14:paraId="068932B9" w14:textId="77777777" w:rsidR="00A05420" w:rsidRDefault="00545AC1">
            <w:pPr>
              <w:jc w:val="center"/>
              <w:rPr>
                <w:rFonts w:ascii="楷体" w:eastAsia="楷体" w:hAnsi="楷体" w:cs="楷体"/>
                <w:b/>
                <w:bCs/>
                <w:sz w:val="28"/>
                <w:szCs w:val="36"/>
              </w:rPr>
            </w:pPr>
            <w:r>
              <w:rPr>
                <w:rFonts w:ascii="楷体" w:eastAsia="楷体" w:hAnsi="楷体" w:cs="楷体" w:hint="eastAsia"/>
                <w:b/>
                <w:bCs/>
                <w:sz w:val="28"/>
                <w:szCs w:val="36"/>
              </w:rPr>
              <w:t>04</w:t>
            </w:r>
          </w:p>
        </w:tc>
        <w:tc>
          <w:tcPr>
            <w:tcW w:w="2610" w:type="dxa"/>
            <w:vAlign w:val="center"/>
          </w:tcPr>
          <w:p w14:paraId="586B87FF" w14:textId="77777777" w:rsidR="00A05420" w:rsidRDefault="00545AC1">
            <w:pPr>
              <w:spacing w:line="320" w:lineRule="exact"/>
              <w:rPr>
                <w:rFonts w:ascii="楷体" w:eastAsia="楷体" w:hAnsi="楷体" w:cs="楷体"/>
                <w:sz w:val="28"/>
                <w:szCs w:val="28"/>
              </w:rPr>
            </w:pPr>
            <w:r>
              <w:rPr>
                <w:rFonts w:ascii="楷体" w:eastAsia="楷体" w:hAnsi="楷体" w:cs="楷体" w:hint="eastAsia"/>
                <w:b/>
                <w:bCs/>
                <w:color w:val="000000"/>
                <w:sz w:val="28"/>
                <w:szCs w:val="28"/>
              </w:rPr>
              <w:t>花香绿茶、红茶技术研发及高山有机茶园栽培管理技术推广</w:t>
            </w:r>
          </w:p>
        </w:tc>
        <w:tc>
          <w:tcPr>
            <w:tcW w:w="3864" w:type="dxa"/>
            <w:vAlign w:val="center"/>
          </w:tcPr>
          <w:p w14:paraId="304D2298" w14:textId="77777777" w:rsidR="00A05420" w:rsidRDefault="00545AC1">
            <w:r>
              <w:t>湖南三峰茶业有限责任公司</w:t>
            </w:r>
          </w:p>
        </w:tc>
        <w:tc>
          <w:tcPr>
            <w:tcW w:w="999" w:type="dxa"/>
            <w:vAlign w:val="center"/>
          </w:tcPr>
          <w:p w14:paraId="1A34FCB5" w14:textId="77777777" w:rsidR="00A05420" w:rsidRDefault="00545AC1">
            <w:pPr>
              <w:jc w:val="center"/>
            </w:pPr>
            <w:r>
              <w:rPr>
                <w:rFonts w:hint="eastAsia"/>
              </w:rPr>
              <w:t>雷沅传</w:t>
            </w:r>
          </w:p>
        </w:tc>
        <w:tc>
          <w:tcPr>
            <w:tcW w:w="4569" w:type="dxa"/>
            <w:vAlign w:val="center"/>
          </w:tcPr>
          <w:p w14:paraId="7DCF7D46" w14:textId="77777777" w:rsidR="00A05420" w:rsidRDefault="00545AC1">
            <w:r>
              <w:rPr>
                <w:rFonts w:hint="eastAsia"/>
              </w:rPr>
              <w:t>（</w:t>
            </w:r>
            <w:r>
              <w:rPr>
                <w:rFonts w:hint="eastAsia"/>
              </w:rPr>
              <w:t>1</w:t>
            </w:r>
            <w:r>
              <w:rPr>
                <w:rFonts w:hint="eastAsia"/>
              </w:rPr>
              <w:t>）自主研发高香绿茶、花香绿茶、花香红茶新工艺，形成企业标准。（</w:t>
            </w:r>
            <w:r>
              <w:rPr>
                <w:rFonts w:hint="eastAsia"/>
              </w:rPr>
              <w:t>2</w:t>
            </w:r>
            <w:r>
              <w:rPr>
                <w:rFonts w:hint="eastAsia"/>
              </w:rPr>
              <w:t>）新建标准高山有机茶园，制定高山有机茶园栽培管理技术规程。</w:t>
            </w:r>
          </w:p>
        </w:tc>
        <w:tc>
          <w:tcPr>
            <w:tcW w:w="1164" w:type="dxa"/>
            <w:vAlign w:val="center"/>
          </w:tcPr>
          <w:p w14:paraId="1C05D840" w14:textId="77777777" w:rsidR="00A05420" w:rsidRDefault="00545AC1">
            <w:pPr>
              <w:jc w:val="center"/>
            </w:pPr>
            <w:r>
              <w:rPr>
                <w:rFonts w:hint="eastAsia"/>
              </w:rPr>
              <w:t>5</w:t>
            </w:r>
          </w:p>
        </w:tc>
        <w:tc>
          <w:tcPr>
            <w:tcW w:w="557" w:type="dxa"/>
            <w:vAlign w:val="center"/>
          </w:tcPr>
          <w:p w14:paraId="2745BF6E" w14:textId="77777777" w:rsidR="00A05420" w:rsidRDefault="00A05420">
            <w:pPr>
              <w:jc w:val="center"/>
            </w:pPr>
          </w:p>
        </w:tc>
      </w:tr>
      <w:tr w:rsidR="00A05420" w14:paraId="7083B493" w14:textId="77777777">
        <w:trPr>
          <w:trHeight w:val="1028"/>
          <w:jc w:val="center"/>
        </w:trPr>
        <w:tc>
          <w:tcPr>
            <w:tcW w:w="517" w:type="dxa"/>
            <w:vAlign w:val="center"/>
          </w:tcPr>
          <w:p w14:paraId="23098FBA" w14:textId="77777777" w:rsidR="00A05420" w:rsidRDefault="00545AC1">
            <w:pPr>
              <w:jc w:val="center"/>
              <w:rPr>
                <w:rFonts w:ascii="楷体" w:eastAsia="楷体" w:hAnsi="楷体" w:cs="楷体"/>
                <w:b/>
                <w:bCs/>
                <w:sz w:val="28"/>
                <w:szCs w:val="36"/>
              </w:rPr>
            </w:pPr>
            <w:r>
              <w:rPr>
                <w:rFonts w:ascii="楷体" w:eastAsia="楷体" w:hAnsi="楷体" w:cs="楷体" w:hint="eastAsia"/>
                <w:b/>
                <w:bCs/>
                <w:sz w:val="28"/>
                <w:szCs w:val="36"/>
              </w:rPr>
              <w:t>05</w:t>
            </w:r>
          </w:p>
        </w:tc>
        <w:tc>
          <w:tcPr>
            <w:tcW w:w="2610" w:type="dxa"/>
            <w:vAlign w:val="center"/>
          </w:tcPr>
          <w:p w14:paraId="40DB9050" w14:textId="77777777" w:rsidR="00A05420" w:rsidRDefault="00545AC1">
            <w:pPr>
              <w:spacing w:line="320" w:lineRule="exact"/>
              <w:rPr>
                <w:rFonts w:ascii="楷体" w:eastAsia="楷体" w:hAnsi="楷体" w:cs="楷体"/>
                <w:sz w:val="28"/>
                <w:szCs w:val="28"/>
              </w:rPr>
            </w:pPr>
            <w:r>
              <w:rPr>
                <w:rFonts w:ascii="楷体" w:eastAsia="楷体" w:hAnsi="楷体" w:cs="楷体" w:hint="eastAsia"/>
                <w:b/>
                <w:bCs/>
                <w:color w:val="000000"/>
                <w:sz w:val="28"/>
                <w:szCs w:val="28"/>
              </w:rPr>
              <w:t>油茶种植及加工技术应用与推广</w:t>
            </w:r>
          </w:p>
        </w:tc>
        <w:tc>
          <w:tcPr>
            <w:tcW w:w="3864" w:type="dxa"/>
            <w:vAlign w:val="center"/>
          </w:tcPr>
          <w:p w14:paraId="423C1A50" w14:textId="77777777" w:rsidR="00A05420" w:rsidRDefault="00545AC1">
            <w:r>
              <w:rPr>
                <w:rFonts w:hint="eastAsia"/>
              </w:rPr>
              <w:t>蓝山县郁葱林业有限责任公司</w:t>
            </w:r>
          </w:p>
        </w:tc>
        <w:tc>
          <w:tcPr>
            <w:tcW w:w="999" w:type="dxa"/>
            <w:vAlign w:val="center"/>
          </w:tcPr>
          <w:p w14:paraId="16CA5352" w14:textId="77777777" w:rsidR="00A05420" w:rsidRDefault="00545AC1">
            <w:pPr>
              <w:jc w:val="center"/>
            </w:pPr>
            <w:r>
              <w:rPr>
                <w:rFonts w:hint="eastAsia"/>
              </w:rPr>
              <w:t>朱文辉</w:t>
            </w:r>
          </w:p>
        </w:tc>
        <w:tc>
          <w:tcPr>
            <w:tcW w:w="4569" w:type="dxa"/>
            <w:vAlign w:val="center"/>
          </w:tcPr>
          <w:p w14:paraId="6AEB259C" w14:textId="77777777" w:rsidR="00A05420" w:rsidRDefault="00545AC1">
            <w:r>
              <w:rPr>
                <w:rFonts w:hint="eastAsia"/>
              </w:rPr>
              <w:t>（</w:t>
            </w:r>
            <w:r>
              <w:rPr>
                <w:rFonts w:hint="eastAsia"/>
              </w:rPr>
              <w:t>1</w:t>
            </w:r>
            <w:r>
              <w:rPr>
                <w:rFonts w:hint="eastAsia"/>
              </w:rPr>
              <w:t>）制定轻型基质油茶嫁接扦插技术、优质高效丰产栽培技术、油茶采摘技术等规范标准或规范，油茶嫁接扦插苗成活率达</w:t>
            </w:r>
            <w:r>
              <w:rPr>
                <w:rFonts w:hint="eastAsia"/>
              </w:rPr>
              <w:t>95%</w:t>
            </w:r>
            <w:r>
              <w:rPr>
                <w:rFonts w:hint="eastAsia"/>
              </w:rPr>
              <w:t>以上，苗木保存率增加</w:t>
            </w:r>
            <w:r>
              <w:rPr>
                <w:rFonts w:hint="eastAsia"/>
              </w:rPr>
              <w:t>30%</w:t>
            </w:r>
            <w:r>
              <w:rPr>
                <w:rFonts w:hint="eastAsia"/>
              </w:rPr>
              <w:t>以上。（</w:t>
            </w:r>
            <w:r>
              <w:rPr>
                <w:rFonts w:hint="eastAsia"/>
              </w:rPr>
              <w:t>2</w:t>
            </w:r>
            <w:r>
              <w:rPr>
                <w:rFonts w:hint="eastAsia"/>
              </w:rPr>
              <w:t>）引进高产、优质油茶主要原材料（糯米、花生、茶叶、茶油）品种，开发即食油茶原料作物萃取和深加工技术，延长其产业链的发展，制定并完善油茶企业标准。</w:t>
            </w:r>
          </w:p>
        </w:tc>
        <w:tc>
          <w:tcPr>
            <w:tcW w:w="1164" w:type="dxa"/>
            <w:vAlign w:val="center"/>
          </w:tcPr>
          <w:p w14:paraId="5A0ED40C" w14:textId="77777777" w:rsidR="00A05420" w:rsidRDefault="00545AC1">
            <w:pPr>
              <w:jc w:val="center"/>
            </w:pPr>
            <w:r>
              <w:rPr>
                <w:rFonts w:hint="eastAsia"/>
              </w:rPr>
              <w:t>5</w:t>
            </w:r>
          </w:p>
        </w:tc>
        <w:tc>
          <w:tcPr>
            <w:tcW w:w="557" w:type="dxa"/>
            <w:vAlign w:val="center"/>
          </w:tcPr>
          <w:p w14:paraId="05E9AC4D" w14:textId="77777777" w:rsidR="00A05420" w:rsidRDefault="00A05420">
            <w:pPr>
              <w:jc w:val="center"/>
            </w:pPr>
          </w:p>
        </w:tc>
      </w:tr>
      <w:tr w:rsidR="00A05420" w14:paraId="6361A8F9" w14:textId="77777777">
        <w:trPr>
          <w:trHeight w:val="794"/>
          <w:jc w:val="center"/>
        </w:trPr>
        <w:tc>
          <w:tcPr>
            <w:tcW w:w="517" w:type="dxa"/>
            <w:vAlign w:val="center"/>
          </w:tcPr>
          <w:p w14:paraId="07B36ADC" w14:textId="77777777" w:rsidR="00A05420" w:rsidRDefault="00545AC1">
            <w:pPr>
              <w:jc w:val="center"/>
              <w:rPr>
                <w:rFonts w:ascii="楷体" w:eastAsia="楷体" w:hAnsi="楷体" w:cs="楷体"/>
                <w:b/>
                <w:bCs/>
                <w:sz w:val="28"/>
                <w:szCs w:val="36"/>
              </w:rPr>
            </w:pPr>
            <w:r>
              <w:rPr>
                <w:rFonts w:ascii="楷体" w:eastAsia="楷体" w:hAnsi="楷体" w:cs="楷体" w:hint="eastAsia"/>
                <w:b/>
                <w:bCs/>
                <w:sz w:val="28"/>
                <w:szCs w:val="36"/>
              </w:rPr>
              <w:t>06</w:t>
            </w:r>
          </w:p>
        </w:tc>
        <w:tc>
          <w:tcPr>
            <w:tcW w:w="2610" w:type="dxa"/>
            <w:vAlign w:val="center"/>
          </w:tcPr>
          <w:p w14:paraId="09172C5A" w14:textId="77777777" w:rsidR="00A05420" w:rsidRDefault="00545AC1">
            <w:pPr>
              <w:spacing w:line="320" w:lineRule="exact"/>
              <w:rPr>
                <w:rFonts w:ascii="楷体" w:eastAsia="楷体" w:hAnsi="楷体" w:cs="楷体"/>
                <w:sz w:val="28"/>
                <w:szCs w:val="28"/>
              </w:rPr>
            </w:pPr>
            <w:r>
              <w:rPr>
                <w:rFonts w:ascii="楷体" w:eastAsia="楷体" w:hAnsi="楷体" w:cs="楷体" w:hint="eastAsia"/>
                <w:b/>
                <w:bCs/>
                <w:color w:val="000000"/>
                <w:sz w:val="28"/>
                <w:szCs w:val="28"/>
              </w:rPr>
              <w:t>蓝山县科技成果转化服务信息平台</w:t>
            </w:r>
          </w:p>
        </w:tc>
        <w:tc>
          <w:tcPr>
            <w:tcW w:w="3864" w:type="dxa"/>
            <w:vAlign w:val="center"/>
          </w:tcPr>
          <w:p w14:paraId="590D3589" w14:textId="77777777" w:rsidR="00A05420" w:rsidRDefault="00545AC1">
            <w:r>
              <w:rPr>
                <w:rFonts w:hint="eastAsia"/>
              </w:rPr>
              <w:t>蓝山县科技和工业信息化局</w:t>
            </w:r>
          </w:p>
        </w:tc>
        <w:tc>
          <w:tcPr>
            <w:tcW w:w="999" w:type="dxa"/>
            <w:vAlign w:val="center"/>
          </w:tcPr>
          <w:p w14:paraId="6ACBB57D" w14:textId="77777777" w:rsidR="00A05420" w:rsidRDefault="00545AC1">
            <w:pPr>
              <w:jc w:val="center"/>
            </w:pPr>
            <w:r>
              <w:rPr>
                <w:rFonts w:hint="eastAsia"/>
              </w:rPr>
              <w:t>唐建伟</w:t>
            </w:r>
          </w:p>
        </w:tc>
        <w:tc>
          <w:tcPr>
            <w:tcW w:w="4569" w:type="dxa"/>
            <w:vAlign w:val="center"/>
          </w:tcPr>
          <w:p w14:paraId="23FE6BC1" w14:textId="77777777" w:rsidR="00A05420" w:rsidRDefault="00545AC1">
            <w:r>
              <w:rPr>
                <w:rFonts w:hint="eastAsia"/>
              </w:rPr>
              <w:t>成功为我县</w:t>
            </w:r>
            <w:r>
              <w:rPr>
                <w:rFonts w:hint="eastAsia"/>
              </w:rPr>
              <w:t>10</w:t>
            </w:r>
            <w:r>
              <w:t>家企业提供技术及项目对接服务，</w:t>
            </w:r>
            <w:r>
              <w:rPr>
                <w:rFonts w:hint="eastAsia"/>
              </w:rPr>
              <w:t>帮助</w:t>
            </w:r>
            <w:r>
              <w:rPr>
                <w:rFonts w:hint="eastAsia"/>
              </w:rPr>
              <w:t>5</w:t>
            </w:r>
            <w:r>
              <w:t>家企业建立产学研合作关系。</w:t>
            </w:r>
          </w:p>
        </w:tc>
        <w:tc>
          <w:tcPr>
            <w:tcW w:w="1164" w:type="dxa"/>
            <w:vAlign w:val="center"/>
          </w:tcPr>
          <w:p w14:paraId="7278A1F4" w14:textId="3E743AA3" w:rsidR="00A05420" w:rsidRDefault="007809ED">
            <w:pPr>
              <w:jc w:val="center"/>
            </w:pPr>
            <w:r>
              <w:t>5</w:t>
            </w:r>
          </w:p>
        </w:tc>
        <w:tc>
          <w:tcPr>
            <w:tcW w:w="557" w:type="dxa"/>
            <w:vAlign w:val="center"/>
          </w:tcPr>
          <w:p w14:paraId="18E9FB7D" w14:textId="77777777" w:rsidR="00A05420" w:rsidRDefault="00A05420">
            <w:pPr>
              <w:jc w:val="center"/>
            </w:pPr>
          </w:p>
        </w:tc>
      </w:tr>
      <w:tr w:rsidR="00A05420" w14:paraId="42467244" w14:textId="77777777" w:rsidTr="002B6996">
        <w:trPr>
          <w:trHeight w:val="854"/>
          <w:jc w:val="center"/>
        </w:trPr>
        <w:tc>
          <w:tcPr>
            <w:tcW w:w="517" w:type="dxa"/>
            <w:vAlign w:val="center"/>
          </w:tcPr>
          <w:p w14:paraId="349C4BFF" w14:textId="77777777" w:rsidR="00A05420" w:rsidRDefault="00545AC1">
            <w:pPr>
              <w:jc w:val="center"/>
              <w:rPr>
                <w:rFonts w:ascii="楷体" w:eastAsia="楷体" w:hAnsi="楷体" w:cs="楷体"/>
                <w:b/>
                <w:bCs/>
                <w:sz w:val="28"/>
                <w:szCs w:val="36"/>
              </w:rPr>
            </w:pPr>
            <w:r>
              <w:rPr>
                <w:rFonts w:ascii="楷体" w:eastAsia="楷体" w:hAnsi="楷体" w:cs="楷体" w:hint="eastAsia"/>
                <w:b/>
                <w:bCs/>
                <w:sz w:val="28"/>
                <w:szCs w:val="36"/>
              </w:rPr>
              <w:t>07</w:t>
            </w:r>
          </w:p>
        </w:tc>
        <w:tc>
          <w:tcPr>
            <w:tcW w:w="2610" w:type="dxa"/>
            <w:vAlign w:val="center"/>
          </w:tcPr>
          <w:p w14:paraId="6B1C52EC" w14:textId="77777777" w:rsidR="00A05420" w:rsidRDefault="00545AC1">
            <w:pPr>
              <w:spacing w:line="320" w:lineRule="exact"/>
              <w:rPr>
                <w:rFonts w:ascii="楷体" w:eastAsia="楷体" w:hAnsi="楷体" w:cs="楷体"/>
                <w:sz w:val="28"/>
                <w:szCs w:val="28"/>
              </w:rPr>
            </w:pPr>
            <w:r>
              <w:rPr>
                <w:rFonts w:ascii="楷体" w:eastAsia="楷体" w:hAnsi="楷体" w:cs="楷体" w:hint="eastAsia"/>
                <w:b/>
                <w:bCs/>
                <w:color w:val="000000"/>
                <w:sz w:val="28"/>
                <w:szCs w:val="28"/>
              </w:rPr>
              <w:t>蓝山县综合创新创业服务平台</w:t>
            </w:r>
          </w:p>
        </w:tc>
        <w:tc>
          <w:tcPr>
            <w:tcW w:w="3864" w:type="dxa"/>
            <w:vAlign w:val="center"/>
          </w:tcPr>
          <w:p w14:paraId="38A6070B" w14:textId="77777777" w:rsidR="00A05420" w:rsidRDefault="00545AC1">
            <w:r>
              <w:rPr>
                <w:rFonts w:hint="eastAsia"/>
              </w:rPr>
              <w:t>蓝山县科技和工业信息化局</w:t>
            </w:r>
          </w:p>
        </w:tc>
        <w:tc>
          <w:tcPr>
            <w:tcW w:w="999" w:type="dxa"/>
            <w:vAlign w:val="center"/>
          </w:tcPr>
          <w:p w14:paraId="54690CA2" w14:textId="77777777" w:rsidR="00A05420" w:rsidRDefault="00545AC1">
            <w:pPr>
              <w:jc w:val="center"/>
            </w:pPr>
            <w:r>
              <w:rPr>
                <w:rFonts w:hint="eastAsia"/>
              </w:rPr>
              <w:t>唐建伟</w:t>
            </w:r>
          </w:p>
        </w:tc>
        <w:tc>
          <w:tcPr>
            <w:tcW w:w="4569" w:type="dxa"/>
            <w:vAlign w:val="center"/>
          </w:tcPr>
          <w:p w14:paraId="5D16824F" w14:textId="77777777" w:rsidR="00A05420" w:rsidRDefault="00545AC1">
            <w:r>
              <w:rPr>
                <w:rFonts w:hint="eastAsia"/>
              </w:rPr>
              <w:t>建立潇湘科技要素大市场蓝山工作站，并正常运营与维护。</w:t>
            </w:r>
          </w:p>
        </w:tc>
        <w:tc>
          <w:tcPr>
            <w:tcW w:w="1164" w:type="dxa"/>
            <w:vAlign w:val="center"/>
          </w:tcPr>
          <w:p w14:paraId="4391FA46" w14:textId="77777777" w:rsidR="00A05420" w:rsidRDefault="00545AC1">
            <w:pPr>
              <w:jc w:val="center"/>
            </w:pPr>
            <w:r>
              <w:rPr>
                <w:rFonts w:hint="eastAsia"/>
              </w:rPr>
              <w:t>10</w:t>
            </w:r>
          </w:p>
        </w:tc>
        <w:tc>
          <w:tcPr>
            <w:tcW w:w="557" w:type="dxa"/>
            <w:vAlign w:val="center"/>
          </w:tcPr>
          <w:p w14:paraId="523B26A5" w14:textId="77777777" w:rsidR="00A05420" w:rsidRDefault="00A05420">
            <w:pPr>
              <w:jc w:val="center"/>
            </w:pPr>
          </w:p>
        </w:tc>
      </w:tr>
      <w:tr w:rsidR="00A05420" w14:paraId="2878CEEF" w14:textId="77777777">
        <w:trPr>
          <w:trHeight w:val="740"/>
          <w:jc w:val="center"/>
        </w:trPr>
        <w:tc>
          <w:tcPr>
            <w:tcW w:w="517" w:type="dxa"/>
            <w:vAlign w:val="center"/>
          </w:tcPr>
          <w:p w14:paraId="239A6AE1" w14:textId="77777777" w:rsidR="00A05420" w:rsidRDefault="00A05420">
            <w:pPr>
              <w:jc w:val="center"/>
              <w:rPr>
                <w:rFonts w:ascii="楷体" w:eastAsia="楷体" w:hAnsi="楷体" w:cs="楷体"/>
                <w:b/>
                <w:bCs/>
                <w:sz w:val="28"/>
                <w:szCs w:val="36"/>
              </w:rPr>
            </w:pPr>
          </w:p>
        </w:tc>
        <w:tc>
          <w:tcPr>
            <w:tcW w:w="2610" w:type="dxa"/>
            <w:vAlign w:val="center"/>
          </w:tcPr>
          <w:p w14:paraId="7602FAD9" w14:textId="77777777" w:rsidR="00A05420" w:rsidRDefault="00A05420">
            <w:pPr>
              <w:spacing w:line="400" w:lineRule="exact"/>
              <w:rPr>
                <w:rFonts w:ascii="楷体" w:eastAsia="楷体" w:hAnsi="楷体" w:cs="楷体"/>
                <w:sz w:val="28"/>
                <w:szCs w:val="28"/>
              </w:rPr>
            </w:pPr>
          </w:p>
        </w:tc>
        <w:tc>
          <w:tcPr>
            <w:tcW w:w="3864" w:type="dxa"/>
            <w:vAlign w:val="center"/>
          </w:tcPr>
          <w:p w14:paraId="6B5E511D" w14:textId="77777777" w:rsidR="00A05420" w:rsidRDefault="00A05420"/>
        </w:tc>
        <w:tc>
          <w:tcPr>
            <w:tcW w:w="999" w:type="dxa"/>
            <w:vAlign w:val="center"/>
          </w:tcPr>
          <w:p w14:paraId="1C5AB029" w14:textId="77777777" w:rsidR="00A05420" w:rsidRDefault="00A05420">
            <w:pPr>
              <w:jc w:val="center"/>
            </w:pPr>
          </w:p>
        </w:tc>
        <w:tc>
          <w:tcPr>
            <w:tcW w:w="4569" w:type="dxa"/>
            <w:vAlign w:val="center"/>
          </w:tcPr>
          <w:p w14:paraId="5E24DAA7" w14:textId="77777777" w:rsidR="00A05420" w:rsidRDefault="00545AC1">
            <w:pPr>
              <w:jc w:val="center"/>
            </w:pPr>
            <w:r>
              <w:rPr>
                <w:rFonts w:hint="eastAsia"/>
                <w:b/>
                <w:bCs/>
              </w:rPr>
              <w:t>合</w:t>
            </w:r>
            <w:r>
              <w:rPr>
                <w:rFonts w:hint="eastAsia"/>
                <w:b/>
                <w:bCs/>
              </w:rPr>
              <w:t xml:space="preserve">   </w:t>
            </w:r>
            <w:r>
              <w:rPr>
                <w:rFonts w:hint="eastAsia"/>
                <w:b/>
                <w:bCs/>
              </w:rPr>
              <w:t>计</w:t>
            </w:r>
          </w:p>
        </w:tc>
        <w:tc>
          <w:tcPr>
            <w:tcW w:w="1164" w:type="dxa"/>
            <w:vAlign w:val="center"/>
          </w:tcPr>
          <w:p w14:paraId="46E516A1" w14:textId="77777777" w:rsidR="00A05420" w:rsidRDefault="00545AC1">
            <w:pPr>
              <w:jc w:val="center"/>
            </w:pPr>
            <w:r>
              <w:rPr>
                <w:rFonts w:hint="eastAsia"/>
              </w:rPr>
              <w:t>50</w:t>
            </w:r>
          </w:p>
        </w:tc>
        <w:tc>
          <w:tcPr>
            <w:tcW w:w="557" w:type="dxa"/>
            <w:vAlign w:val="center"/>
          </w:tcPr>
          <w:p w14:paraId="5DA1EFC9" w14:textId="77777777" w:rsidR="00A05420" w:rsidRDefault="00A05420">
            <w:pPr>
              <w:jc w:val="center"/>
            </w:pPr>
          </w:p>
        </w:tc>
      </w:tr>
    </w:tbl>
    <w:p w14:paraId="3DA7634B" w14:textId="77777777" w:rsidR="00A05420" w:rsidRDefault="00A05420">
      <w:pPr>
        <w:spacing w:line="640" w:lineRule="exact"/>
        <w:rPr>
          <w:rFonts w:ascii="仿宋" w:eastAsia="仿宋" w:hAnsi="仿宋" w:cs="仿宋"/>
          <w:sz w:val="32"/>
          <w:szCs w:val="32"/>
        </w:rPr>
      </w:pPr>
    </w:p>
    <w:sectPr w:rsidR="00A05420" w:rsidSect="00A05420">
      <w:footerReference w:type="default" r:id="rId7"/>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2E62" w14:textId="77777777" w:rsidR="003048C9" w:rsidRDefault="003048C9" w:rsidP="00A05420">
      <w:r>
        <w:separator/>
      </w:r>
    </w:p>
  </w:endnote>
  <w:endnote w:type="continuationSeparator" w:id="0">
    <w:p w14:paraId="461350EA" w14:textId="77777777" w:rsidR="003048C9" w:rsidRDefault="003048C9" w:rsidP="00A0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FD53" w14:textId="17227D5B" w:rsidR="00A05420" w:rsidRDefault="000C3DF2" w:rsidP="002B6996">
    <w:pPr>
      <w:pStyle w:val="a3"/>
      <w:tabs>
        <w:tab w:val="clear" w:pos="4153"/>
        <w:tab w:val="clear" w:pos="8306"/>
        <w:tab w:val="center" w:pos="6979"/>
      </w:tabs>
    </w:pPr>
    <w:r>
      <w:rPr>
        <w:noProof/>
      </w:rPr>
      <mc:AlternateContent>
        <mc:Choice Requires="wps">
          <w:drawing>
            <wp:anchor distT="0" distB="0" distL="114300" distR="114300" simplePos="0" relativeHeight="251658240" behindDoc="0" locked="0" layoutInCell="1" allowOverlap="1" wp14:anchorId="08B635F5" wp14:editId="20CDEDA4">
              <wp:simplePos x="0" y="0"/>
              <wp:positionH relativeFrom="margin">
                <wp:align>center</wp:align>
              </wp:positionH>
              <wp:positionV relativeFrom="paragraph">
                <wp:posOffset>0</wp:posOffset>
              </wp:positionV>
              <wp:extent cx="1035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39700"/>
                      </a:xfrm>
                      <a:prstGeom prst="rect">
                        <a:avLst/>
                      </a:prstGeom>
                      <a:noFill/>
                      <a:ln w="6350">
                        <a:noFill/>
                      </a:ln>
                    </wps:spPr>
                    <wps:txbx>
                      <w:txbxContent>
                        <w:p w14:paraId="5140A26A" w14:textId="77777777" w:rsidR="00A05420" w:rsidRDefault="00A05420">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8B635F5" id="_x0000_t202" coordsize="21600,21600" o:spt="202" path="m,l,21600r21600,l21600,xe">
              <v:stroke joinstyle="miter"/>
              <v:path gradientshapeok="t" o:connecttype="rect"/>
            </v:shapetype>
            <v:shape id="文本框 1" o:spid="_x0000_s1026" type="#_x0000_t202" style="position:absolute;margin-left:0;margin-top:0;width:8.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" filled="f" stroked="f" strokeweight=".5pt">
              <v:textbox style="mso-fit-shape-to-text:t" inset="0,0,0,0">
                <w:txbxContent>
                  <w:p w14:paraId="5140A26A" w14:textId="77777777" w:rsidR="00A05420" w:rsidRDefault="00A05420">
                    <w:pPr>
                      <w:pStyle w:val="a3"/>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D47D" w14:textId="77777777" w:rsidR="003048C9" w:rsidRDefault="003048C9" w:rsidP="00A05420">
      <w:r>
        <w:separator/>
      </w:r>
    </w:p>
  </w:footnote>
  <w:footnote w:type="continuationSeparator" w:id="0">
    <w:p w14:paraId="5AD58277" w14:textId="77777777" w:rsidR="003048C9" w:rsidRDefault="003048C9" w:rsidP="00A0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940E79"/>
    <w:rsid w:val="000C3DF2"/>
    <w:rsid w:val="002B6996"/>
    <w:rsid w:val="003048C9"/>
    <w:rsid w:val="00545AC1"/>
    <w:rsid w:val="0062576C"/>
    <w:rsid w:val="007809ED"/>
    <w:rsid w:val="00987B7D"/>
    <w:rsid w:val="00A05420"/>
    <w:rsid w:val="07485888"/>
    <w:rsid w:val="07B64769"/>
    <w:rsid w:val="0A5C20A7"/>
    <w:rsid w:val="0D507335"/>
    <w:rsid w:val="0E2735B4"/>
    <w:rsid w:val="118A6D5F"/>
    <w:rsid w:val="1FB87E34"/>
    <w:rsid w:val="23940E79"/>
    <w:rsid w:val="25DA790C"/>
    <w:rsid w:val="2FC72066"/>
    <w:rsid w:val="31B86F5D"/>
    <w:rsid w:val="3CCE4DF6"/>
    <w:rsid w:val="3D9C71BB"/>
    <w:rsid w:val="43E251EF"/>
    <w:rsid w:val="49D9314C"/>
    <w:rsid w:val="4A7F15BA"/>
    <w:rsid w:val="4D4F6194"/>
    <w:rsid w:val="4DCE11CA"/>
    <w:rsid w:val="54554894"/>
    <w:rsid w:val="5AFC3DCF"/>
    <w:rsid w:val="5FA63810"/>
    <w:rsid w:val="673B0FE9"/>
    <w:rsid w:val="684B08A2"/>
    <w:rsid w:val="771D0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8FF79"/>
  <w15:docId w15:val="{518D8768-B867-49E7-98F3-D298C3D5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3"/>
    <w:qFormat/>
    <w:rsid w:val="00A054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样式 文字 + 首行缩进:  2 字符3"/>
    <w:basedOn w:val="a"/>
    <w:uiPriority w:val="99"/>
    <w:qFormat/>
    <w:rsid w:val="00A05420"/>
    <w:pPr>
      <w:spacing w:line="360" w:lineRule="auto"/>
      <w:jc w:val="left"/>
    </w:pPr>
    <w:rPr>
      <w:sz w:val="28"/>
      <w:szCs w:val="28"/>
    </w:rPr>
  </w:style>
  <w:style w:type="paragraph" w:styleId="a3">
    <w:name w:val="footer"/>
    <w:basedOn w:val="a"/>
    <w:qFormat/>
    <w:rsid w:val="00A05420"/>
    <w:pPr>
      <w:tabs>
        <w:tab w:val="center" w:pos="4153"/>
        <w:tab w:val="right" w:pos="8306"/>
      </w:tabs>
      <w:snapToGrid w:val="0"/>
      <w:jc w:val="left"/>
    </w:pPr>
    <w:rPr>
      <w:sz w:val="18"/>
    </w:rPr>
  </w:style>
  <w:style w:type="paragraph" w:styleId="a4">
    <w:name w:val="header"/>
    <w:basedOn w:val="a"/>
    <w:qFormat/>
    <w:rsid w:val="00A054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A054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695</Characters>
  <Application>Microsoft Office Word</Application>
  <DocSecurity>0</DocSecurity>
  <Lines>38</Lines>
  <Paragraphs>34</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小样1367541594</dc:creator>
  <cp:lastModifiedBy>pang xiao</cp:lastModifiedBy>
  <cp:revision>2</cp:revision>
  <cp:lastPrinted>2019-11-22T03:51:00Z</cp:lastPrinted>
  <dcterms:created xsi:type="dcterms:W3CDTF">2021-08-26T08:27:00Z</dcterms:created>
  <dcterms:modified xsi:type="dcterms:W3CDTF">2021-08-26T08:27:00Z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