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overflowPunct/>
        <w:topLinePunct w:val="0"/>
        <w:autoSpaceDE/>
        <w:autoSpaceDN/>
        <w:bidi w:val="0"/>
        <w:adjustRightInd/>
        <w:snapToGrid/>
        <w:spacing w:line="240" w:lineRule="auto"/>
        <w:jc w:val="distribute"/>
        <w:textAlignment w:val="auto"/>
        <w:rPr>
          <w:rFonts w:hint="eastAsia" w:ascii="方正大标宋简体" w:hAnsi="方正大标宋简体" w:eastAsia="方正大标宋简体" w:cs="方正大标宋简体"/>
          <w:b w:val="0"/>
          <w:bCs/>
          <w:color w:val="FF0000"/>
          <w:spacing w:val="0"/>
          <w:w w:val="45"/>
          <w:sz w:val="140"/>
          <w:szCs w:val="140"/>
          <w:lang w:eastAsia="zh-CN"/>
        </w:rPr>
      </w:pPr>
      <w:r>
        <w:rPr>
          <w:rFonts w:hint="eastAsia" w:ascii="方正大标宋简体" w:hAnsi="方正大标宋简体" w:eastAsia="方正大标宋简体" w:cs="方正大标宋简体"/>
          <w:b w:val="0"/>
          <w:bCs/>
          <w:color w:val="FF0000"/>
          <w:spacing w:val="0"/>
          <w:w w:val="45"/>
          <w:sz w:val="140"/>
          <w:szCs w:val="140"/>
        </w:rPr>
        <w:t>蓝山县文化旅游广电体育局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方正小标宋简体" w:hAnsi="方正小标宋简体" w:eastAsia="方正小标宋简体" w:cs="方正小标宋简体"/>
          <w:sz w:val="44"/>
          <w:szCs w:val="44"/>
          <w:lang w:eastAsia="zh-CN"/>
        </w:rPr>
      </w:pPr>
      <w:r>
        <w:rPr>
          <w:sz w:val="72"/>
        </w:rPr>
        <mc:AlternateContent>
          <mc:Choice Requires="wps">
            <w:drawing>
              <wp:anchor distT="0" distB="0" distL="114300" distR="114300" simplePos="0" relativeHeight="251659264" behindDoc="0" locked="0" layoutInCell="1" allowOverlap="1">
                <wp:simplePos x="0" y="0"/>
                <wp:positionH relativeFrom="column">
                  <wp:posOffset>-107315</wp:posOffset>
                </wp:positionH>
                <wp:positionV relativeFrom="paragraph">
                  <wp:posOffset>120015</wp:posOffset>
                </wp:positionV>
                <wp:extent cx="5843905" cy="0"/>
                <wp:effectExtent l="0" t="12700" r="0" b="63500"/>
                <wp:wrapNone/>
                <wp:docPr id="1" name="直接连接符 1"/>
                <wp:cNvGraphicFramePr/>
                <a:graphic xmlns:a="http://schemas.openxmlformats.org/drawingml/2006/main">
                  <a:graphicData uri="http://schemas.microsoft.com/office/word/2010/wordprocessingShape">
                    <wps:wsp>
                      <wps:cNvCnPr/>
                      <wps:spPr>
                        <a:xfrm>
                          <a:off x="1149985" y="2522855"/>
                          <a:ext cx="5843905"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8.45pt;margin-top:9.45pt;height:0pt;width:460.15pt;z-index:251659264;mso-width-relative:page;mso-height-relative:page;" filled="f" stroked="t" coordsize="21600,21600" o:gfxdata="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eM0gtcAAAAJAQAADwAAAAAAAAABACAAAAAiAAAAZHJzL2Rv&#10;d25yZXYueG1sUEsBAhQAFAAAAAgAh07iQAUYFEU7AgAAUQQAAA4AAAAAAAAAAQAgAAAAJgEAAGRy&#10;cy9lMm9Eb2MueG1sUEsFBgAAAAAGAAYAWQEAANMFAAAAAA==&#10;">
                <v:fill on="f" focussize="0,0"/>
                <v:stroke weight="2pt" color="#FF0000 [3205]" miterlimit="8" joinstyle="miter"/>
                <v:imagedata o:title=""/>
                <o:lock v:ext="edit" aspectratio="f"/>
              </v:line>
            </w:pict>
          </mc:Fallback>
        </mc:AlternateContent>
      </w:r>
      <w:r>
        <w:rPr>
          <w:rFonts w:hint="eastAsia" w:ascii="仿宋_GB2312" w:hAnsi="仿宋_GB2312" w:eastAsia="仿宋_GB2312" w:cs="仿宋_GB2312"/>
          <w:color w:val="FF0000"/>
          <w:sz w:val="72"/>
          <w:szCs w:val="28"/>
        </w:rPr>
        <w:t xml:space="preserve">         </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蓝山县文化旅游广电体育局</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2024年度法治政府建设工作年度报告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2024年度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县文旅广体局</w:t>
      </w:r>
      <w:r>
        <w:rPr>
          <w:rFonts w:hint="eastAsia" w:ascii="仿宋_GB2312" w:hAnsi="仿宋_GB2312" w:eastAsia="仿宋_GB2312" w:cs="仿宋_GB2312"/>
          <w:sz w:val="32"/>
          <w:szCs w:val="32"/>
        </w:rPr>
        <w:t>在县</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工作领导小组的指导下，紧紧围绕县委、县政府的中心工作，坚持以习近平新时代中国特色社会主义思想为指引，深入贯彻落实党的</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大精神，结合群众路线教育实践活动，认真贯彻落实省、市、县委</w:t>
      </w:r>
      <w:r>
        <w:rPr>
          <w:rFonts w:hint="eastAsia" w:ascii="仿宋_GB2312" w:hAnsi="仿宋_GB2312" w:eastAsia="仿宋_GB2312" w:cs="仿宋_GB2312"/>
          <w:sz w:val="32"/>
          <w:szCs w:val="32"/>
          <w:lang w:eastAsia="zh-CN"/>
        </w:rPr>
        <w:t>法治政府建设工作</w:t>
      </w:r>
      <w:r>
        <w:rPr>
          <w:rFonts w:hint="eastAsia" w:ascii="仿宋_GB2312" w:hAnsi="仿宋_GB2312" w:eastAsia="仿宋_GB2312" w:cs="仿宋_GB2312"/>
          <w:sz w:val="32"/>
          <w:szCs w:val="32"/>
        </w:rPr>
        <w:t>精神，深入开展法制宣传教育，现将我局开展</w:t>
      </w:r>
      <w:r>
        <w:rPr>
          <w:rFonts w:hint="eastAsia" w:ascii="仿宋_GB2312" w:hAnsi="仿宋_GB2312" w:eastAsia="仿宋_GB2312" w:cs="仿宋_GB2312"/>
          <w:sz w:val="32"/>
          <w:szCs w:val="32"/>
          <w:lang w:eastAsia="zh-CN"/>
        </w:rPr>
        <w:t>法治政府建设</w:t>
      </w:r>
      <w:r>
        <w:rPr>
          <w:rFonts w:hint="eastAsia" w:ascii="仿宋_GB2312" w:hAnsi="仿宋_GB2312" w:eastAsia="仿宋_GB2312" w:cs="仿宋_GB2312"/>
          <w:sz w:val="32"/>
          <w:szCs w:val="32"/>
        </w:rPr>
        <w:t>工作情况汇报如下：</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一、主要工作成效</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（一）坚持学习贯彻习近平法治思想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由局领导班子成员、党员干部通过“学习强国”、“湖南干部网络学院”、“如法网”等网络平台，学习贯彻习近平总书记关于依法治国重要论述和讲话精神。同时，为加强学习效果，我局在局党组中心会议及全体人员大会上专题学习了习近平法治思想以及相关重要讲话精神，切实通过开展学习宣传活动，养成自觉守法意识，让干部职工在学法普法工作中发挥模范带头作用，形成良好的学法普法氛围。</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（二）加强部署，狠抓落实</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1.加强思想认识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作为法治建设工作责任单位，</w:t>
      </w:r>
      <w:r>
        <w:rPr>
          <w:rFonts w:hint="eastAsia" w:ascii="仿宋" w:hAnsi="仿宋" w:eastAsia="仿宋" w:cs="仿宋"/>
          <w:sz w:val="32"/>
          <w:szCs w:val="32"/>
        </w:rPr>
        <w:t>我</w:t>
      </w:r>
      <w:r>
        <w:rPr>
          <w:rFonts w:hint="eastAsia" w:ascii="仿宋" w:hAnsi="仿宋" w:eastAsia="仿宋" w:cs="仿宋"/>
          <w:sz w:val="32"/>
          <w:szCs w:val="32"/>
          <w:lang w:eastAsia="zh-CN"/>
        </w:rPr>
        <w:t>局</w:t>
      </w:r>
      <w:r>
        <w:rPr>
          <w:rFonts w:hint="eastAsia" w:ascii="仿宋" w:hAnsi="仿宋" w:eastAsia="仿宋" w:cs="仿宋"/>
          <w:sz w:val="32"/>
          <w:szCs w:val="32"/>
        </w:rPr>
        <w:t>在思想上十分重视</w:t>
      </w:r>
      <w:r>
        <w:rPr>
          <w:rFonts w:hint="eastAsia" w:ascii="仿宋" w:hAnsi="仿宋" w:eastAsia="仿宋" w:cs="仿宋"/>
          <w:sz w:val="32"/>
          <w:szCs w:val="32"/>
          <w:lang w:eastAsia="zh-CN"/>
        </w:rPr>
        <w:t>普法</w:t>
      </w:r>
      <w:r>
        <w:rPr>
          <w:rFonts w:hint="eastAsia" w:ascii="仿宋" w:hAnsi="仿宋" w:eastAsia="仿宋" w:cs="仿宋"/>
          <w:sz w:val="32"/>
          <w:szCs w:val="32"/>
        </w:rPr>
        <w:t>工作</w:t>
      </w:r>
      <w:r>
        <w:rPr>
          <w:rFonts w:hint="eastAsia" w:ascii="仿宋" w:hAnsi="仿宋" w:eastAsia="仿宋" w:cs="仿宋"/>
          <w:sz w:val="32"/>
          <w:szCs w:val="32"/>
          <w:lang w:eastAsia="zh-CN"/>
        </w:rPr>
        <w:t>，</w:t>
      </w:r>
      <w:r>
        <w:rPr>
          <w:rFonts w:hint="eastAsia" w:ascii="仿宋" w:hAnsi="仿宋" w:eastAsia="仿宋" w:cs="仿宋"/>
          <w:sz w:val="32"/>
          <w:szCs w:val="32"/>
        </w:rPr>
        <w:t>把</w:t>
      </w:r>
      <w:r>
        <w:rPr>
          <w:rFonts w:hint="eastAsia" w:ascii="仿宋" w:hAnsi="仿宋" w:eastAsia="仿宋" w:cs="仿宋"/>
          <w:sz w:val="32"/>
          <w:szCs w:val="32"/>
          <w:lang w:eastAsia="zh-CN"/>
        </w:rPr>
        <w:t>法治建设工作</w:t>
      </w:r>
      <w:r>
        <w:rPr>
          <w:rFonts w:hint="eastAsia" w:ascii="仿宋" w:hAnsi="仿宋" w:eastAsia="仿宋" w:cs="仿宋"/>
          <w:sz w:val="32"/>
          <w:szCs w:val="32"/>
        </w:rPr>
        <w:t>摆上重要议事日程,作为年度工作计划的重要内容,对涉及</w:t>
      </w:r>
      <w:r>
        <w:rPr>
          <w:rFonts w:hint="eastAsia" w:ascii="仿宋" w:hAnsi="仿宋" w:eastAsia="仿宋" w:cs="仿宋"/>
          <w:sz w:val="32"/>
          <w:szCs w:val="32"/>
          <w:lang w:eastAsia="zh-CN"/>
        </w:rPr>
        <w:t>法治建设</w:t>
      </w:r>
      <w:r>
        <w:rPr>
          <w:rFonts w:hint="eastAsia" w:ascii="仿宋" w:hAnsi="仿宋" w:eastAsia="仿宋" w:cs="仿宋"/>
          <w:sz w:val="32"/>
          <w:szCs w:val="32"/>
        </w:rPr>
        <w:t>工作的</w:t>
      </w:r>
      <w:r>
        <w:rPr>
          <w:rFonts w:hint="eastAsia" w:ascii="仿宋" w:hAnsi="仿宋" w:eastAsia="仿宋" w:cs="仿宋"/>
          <w:sz w:val="32"/>
          <w:szCs w:val="32"/>
          <w:lang w:eastAsia="zh-CN"/>
        </w:rPr>
        <w:t>相关</w:t>
      </w:r>
      <w:r>
        <w:rPr>
          <w:rFonts w:hint="eastAsia" w:ascii="仿宋" w:hAnsi="仿宋" w:eastAsia="仿宋" w:cs="仿宋"/>
          <w:sz w:val="32"/>
          <w:szCs w:val="32"/>
        </w:rPr>
        <w:t>事项思想上时时绷紧这根弦。</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2.组织</w:t>
      </w:r>
      <w:r>
        <w:rPr>
          <w:rFonts w:hint="eastAsia" w:ascii="仿宋" w:hAnsi="仿宋" w:eastAsia="仿宋" w:cs="仿宋"/>
          <w:b/>
          <w:bCs/>
          <w:sz w:val="32"/>
          <w:szCs w:val="32"/>
        </w:rPr>
        <w:t>机构</w:t>
      </w:r>
      <w:r>
        <w:rPr>
          <w:rFonts w:hint="eastAsia" w:ascii="仿宋" w:hAnsi="仿宋" w:eastAsia="仿宋" w:cs="仿宋"/>
          <w:b/>
          <w:bCs/>
          <w:sz w:val="32"/>
          <w:szCs w:val="32"/>
          <w:lang w:eastAsia="zh-CN"/>
        </w:rPr>
        <w:t>人员</w:t>
      </w:r>
      <w:r>
        <w:rPr>
          <w:rFonts w:hint="eastAsia" w:ascii="仿宋" w:hAnsi="仿宋" w:eastAsia="仿宋" w:cs="仿宋"/>
          <w:b/>
          <w:bCs/>
          <w:sz w:val="32"/>
          <w:szCs w:val="32"/>
        </w:rPr>
        <w:t>健全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进一步建立健全各项规章制度</w:t>
      </w:r>
      <w:r>
        <w:rPr>
          <w:rFonts w:hint="eastAsia" w:ascii="仿宋" w:hAnsi="仿宋" w:eastAsia="仿宋" w:cs="仿宋"/>
          <w:sz w:val="32"/>
          <w:szCs w:val="32"/>
          <w:lang w:eastAsia="zh-CN"/>
        </w:rPr>
        <w:t>，</w:t>
      </w:r>
      <w:r>
        <w:rPr>
          <w:rFonts w:hint="eastAsia" w:ascii="仿宋" w:hAnsi="仿宋" w:eastAsia="仿宋" w:cs="仿宋"/>
          <w:sz w:val="32"/>
          <w:szCs w:val="32"/>
        </w:rPr>
        <w:t>加强组织建设</w:t>
      </w:r>
      <w:r>
        <w:rPr>
          <w:rFonts w:hint="eastAsia" w:ascii="仿宋" w:hAnsi="仿宋" w:eastAsia="仿宋" w:cs="仿宋"/>
          <w:sz w:val="32"/>
          <w:szCs w:val="32"/>
          <w:lang w:eastAsia="zh-CN"/>
        </w:rPr>
        <w:t>，</w:t>
      </w:r>
      <w:r>
        <w:rPr>
          <w:rFonts w:hint="eastAsia" w:ascii="仿宋" w:hAnsi="仿宋" w:eastAsia="仿宋" w:cs="仿宋"/>
          <w:sz w:val="32"/>
          <w:szCs w:val="32"/>
        </w:rPr>
        <w:t>充实工作人员</w:t>
      </w:r>
      <w:r>
        <w:rPr>
          <w:rFonts w:hint="eastAsia" w:ascii="仿宋" w:hAnsi="仿宋" w:eastAsia="仿宋" w:cs="仿宋"/>
          <w:sz w:val="32"/>
          <w:szCs w:val="32"/>
          <w:lang w:eastAsia="zh-CN"/>
        </w:rPr>
        <w:t>，</w:t>
      </w:r>
      <w:r>
        <w:rPr>
          <w:rFonts w:hint="eastAsia" w:ascii="仿宋" w:hAnsi="仿宋" w:eastAsia="仿宋" w:cs="仿宋"/>
          <w:sz w:val="32"/>
          <w:szCs w:val="32"/>
        </w:rPr>
        <w:t>落实责任。年初局里成立</w:t>
      </w:r>
      <w:r>
        <w:rPr>
          <w:rFonts w:hint="eastAsia" w:ascii="仿宋" w:hAnsi="仿宋" w:eastAsia="仿宋" w:cs="仿宋"/>
          <w:sz w:val="32"/>
          <w:szCs w:val="32"/>
          <w:lang w:eastAsia="zh-CN"/>
        </w:rPr>
        <w:t>法治建设</w:t>
      </w:r>
      <w:r>
        <w:rPr>
          <w:rFonts w:hint="eastAsia" w:ascii="仿宋" w:hAnsi="仿宋" w:eastAsia="仿宋" w:cs="仿宋"/>
          <w:sz w:val="32"/>
          <w:szCs w:val="32"/>
        </w:rPr>
        <w:t>工作领导小组</w:t>
      </w:r>
      <w:r>
        <w:rPr>
          <w:rFonts w:hint="eastAsia" w:ascii="仿宋" w:hAnsi="仿宋" w:eastAsia="仿宋" w:cs="仿宋"/>
          <w:sz w:val="32"/>
          <w:szCs w:val="32"/>
          <w:lang w:eastAsia="zh-CN"/>
        </w:rPr>
        <w:t>，</w:t>
      </w:r>
      <w:r>
        <w:rPr>
          <w:rFonts w:hint="eastAsia" w:ascii="仿宋" w:hAnsi="仿宋" w:eastAsia="仿宋" w:cs="仿宋"/>
          <w:sz w:val="32"/>
          <w:szCs w:val="32"/>
        </w:rPr>
        <w:t>由</w:t>
      </w:r>
      <w:r>
        <w:rPr>
          <w:rFonts w:hint="eastAsia" w:ascii="仿宋" w:hAnsi="仿宋" w:eastAsia="仿宋" w:cs="仿宋"/>
          <w:sz w:val="32"/>
          <w:szCs w:val="32"/>
          <w:lang w:eastAsia="zh-CN"/>
        </w:rPr>
        <w:t>我</w:t>
      </w:r>
      <w:r>
        <w:rPr>
          <w:rFonts w:hint="eastAsia" w:ascii="仿宋" w:hAnsi="仿宋" w:eastAsia="仿宋" w:cs="仿宋"/>
          <w:sz w:val="32"/>
          <w:szCs w:val="32"/>
        </w:rPr>
        <w:t>负总责</w:t>
      </w:r>
      <w:r>
        <w:rPr>
          <w:rFonts w:hint="eastAsia" w:ascii="仿宋" w:hAnsi="仿宋" w:eastAsia="仿宋" w:cs="仿宋"/>
          <w:sz w:val="32"/>
          <w:szCs w:val="32"/>
          <w:lang w:eastAsia="zh-CN"/>
        </w:rPr>
        <w:t>，分管领导副局长盘仁文</w:t>
      </w:r>
      <w:r>
        <w:rPr>
          <w:rFonts w:hint="eastAsia" w:ascii="仿宋" w:hAnsi="仿宋" w:eastAsia="仿宋" w:cs="仿宋"/>
          <w:sz w:val="32"/>
          <w:szCs w:val="32"/>
        </w:rPr>
        <w:t>具体抓落实</w:t>
      </w:r>
      <w:r>
        <w:rPr>
          <w:rFonts w:hint="eastAsia" w:ascii="仿宋" w:hAnsi="仿宋" w:eastAsia="仿宋" w:cs="仿宋"/>
          <w:sz w:val="32"/>
          <w:szCs w:val="32"/>
          <w:lang w:eastAsia="zh-CN"/>
        </w:rPr>
        <w:t>，局市场监管股及各二级机构负责开展具体专项工作。</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（三）强化重大行政决策及公文发文审查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规范本单位重大行政事项决策，全面落实依法行政各项工作要求，我局立足近年工作实际情况，严格遵照本单位重大行政决策事项标准，切实开展重大行政决策审查工作。2024年，我局暂未制定公布行政规范性文件。</w:t>
      </w:r>
    </w:p>
    <w:p>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default" w:ascii="仿宋" w:hAnsi="仿宋" w:eastAsia="仿宋" w:cs="仿宋"/>
          <w:b/>
          <w:bCs/>
          <w:sz w:val="32"/>
          <w:szCs w:val="32"/>
          <w:lang w:eastAsia="zh-CN"/>
        </w:rPr>
      </w:pPr>
      <w:r>
        <w:rPr>
          <w:rFonts w:hint="default" w:ascii="仿宋" w:hAnsi="仿宋" w:eastAsia="仿宋" w:cs="仿宋"/>
          <w:b/>
          <w:bCs/>
          <w:sz w:val="32"/>
          <w:szCs w:val="32"/>
          <w:lang w:eastAsia="zh-CN"/>
        </w:rPr>
        <w:t>（四）严格规范行政执法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对照执法三项制度工作要求，严格遵守执法流程，及时处置各类违规违法行为，切实维护好我县文旅市场经营秩序。2024年，我局共实施行政执法行为612件次。其中，行政检查606件次，行政许可（含行政许可初审）0件次，实施行政强制3件次，行政处罚3件次，结案率100%。罚没金额5.6万余元。</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二、本年度工作困难及不足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2024年我局法治政府建设工作取得一定成效，但仍然存在一些薄弱环节：</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default" w:ascii="仿宋_GB2312" w:hAnsi="仿宋_GB2312" w:eastAsia="仿宋_GB2312" w:cs="仿宋_GB2312"/>
          <w:sz w:val="32"/>
          <w:szCs w:val="32"/>
          <w:lang w:val="en-US" w:eastAsia="zh-CN"/>
        </w:rPr>
        <w:t>法治政府建设制度有待进一步完善；</w:t>
      </w:r>
      <w:r>
        <w:rPr>
          <w:rFonts w:hint="default" w:ascii="仿宋_GB2312" w:hAnsi="仿宋_GB2312" w:eastAsia="仿宋_GB2312" w:cs="仿宋_GB2312"/>
          <w:b/>
          <w:bCs/>
          <w:sz w:val="32"/>
          <w:szCs w:val="32"/>
          <w:lang w:val="en-US" w:eastAsia="zh-CN"/>
        </w:rPr>
        <w:t>二是</w:t>
      </w:r>
      <w:r>
        <w:rPr>
          <w:rFonts w:hint="default" w:ascii="仿宋_GB2312" w:hAnsi="仿宋_GB2312" w:eastAsia="仿宋_GB2312" w:cs="仿宋_GB2312"/>
          <w:sz w:val="32"/>
          <w:szCs w:val="32"/>
          <w:lang w:val="en-US" w:eastAsia="zh-CN"/>
        </w:rPr>
        <w:t>干部职工学法、用法意识和能力有待进一步提高；</w:t>
      </w:r>
      <w:r>
        <w:rPr>
          <w:rFonts w:hint="default"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lang w:val="en-US" w:eastAsia="zh-CN"/>
        </w:rPr>
        <w:t>全面普法工作有待进一步加强。</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三、2025年推进法治政府建设的主要安排</w:t>
      </w:r>
    </w:p>
    <w:p>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全面推行文旅行业领域行政执法三项制度，完善“双随机、一公开”“互联网+监管”等监管模式，推进线上线下一体化监管，根据信用等级分类和风险程度确定监管内容、方式和频次，提高监管精准化水平。</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大力开展法治宣传教育</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继续推进落实“谁执法谁普法”普法责任制，将法治宣传与业务工作紧密结合，充分利用微信、微视频、网站等媒体平台开展普法活动，努力构建多层次、立体化、全方位的法治宣传教育网络。</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建立高效执法监管体系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继续做好权力清单和责任清单的定期清理和动态调整，明确法定职责，进一步简政放权，完善执法监督体系建设。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蓝山县文化旅游广电体育局</w:t>
      </w: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2024年12月26日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right"/>
        <w:textAlignment w:val="auto"/>
        <w:rPr>
          <w:rFonts w:hint="eastAsia" w:ascii="仿宋" w:hAnsi="仿宋" w:eastAsia="仿宋" w:cs="仿宋"/>
          <w:b w:val="0"/>
          <w:bCs w:val="0"/>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jc w:val="both"/>
        <w:textAlignment w:val="auto"/>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FEB1F3"/>
    <w:multiLevelType w:val="singleLevel"/>
    <w:tmpl w:val="09FEB1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ODVjZWRkZjA0YWY3ZmMwYWYxY2RkYzI4YzU5MTkifQ=="/>
  </w:docVars>
  <w:rsids>
    <w:rsidRoot w:val="733134A9"/>
    <w:rsid w:val="1DA36A36"/>
    <w:rsid w:val="2DC70BD5"/>
    <w:rsid w:val="73313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2024-12-27T00:45:00Z</dcterms:created>
  <dc:creator>Administrator</dc:creator>
  <cp:lastModifiedBy>Administrator</cp:lastModifiedBy>
  <cp:lastPrinted>2025-01-03T03:20:28Z</cp:lastPrinted>
  <dcterms:modified xsi:type="dcterms:W3CDTF">2025-01-03T03:24:43Z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8D2CEEBF29B24E77A4A14023DA6D200B_11</vt:lpwstr>
  </property>
</Properties>
</file>