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41C4D">
      <w:pPr>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880" w:firstLineChars="200"/>
        <w:jc w:val="both"/>
        <w:textAlignment w:val="baseline"/>
        <w:outlineLvl w:val="9"/>
        <w:rPr>
          <w:rFonts w:hint="eastAsia" w:ascii="方正小标宋简体" w:hAnsi="方正小标宋简体" w:eastAsia="方正小标宋简体" w:cs="方正小标宋简体"/>
          <w:snapToGrid/>
          <w:color w:val="000000"/>
          <w:kern w:val="2"/>
          <w:sz w:val="44"/>
          <w:szCs w:val="44"/>
          <w:lang w:val="en-US" w:eastAsia="zh-CN" w:bidi="ar-SA"/>
        </w:rPr>
      </w:pPr>
      <w:r>
        <w:rPr>
          <w:rFonts w:hint="eastAsia" w:ascii="方正小标宋简体" w:hAnsi="方正小标宋简体" w:eastAsia="方正小标宋简体" w:cs="方正小标宋简体"/>
          <w:snapToGrid/>
          <w:color w:val="000000"/>
          <w:kern w:val="2"/>
          <w:sz w:val="44"/>
          <w:szCs w:val="44"/>
          <w:lang w:val="en-US" w:eastAsia="zh-CN" w:bidi="ar-SA"/>
        </w:rPr>
        <w:t>2022年预算绩效管理工作开展情况说明</w:t>
      </w:r>
    </w:p>
    <w:p w14:paraId="6691E3A7">
      <w:pPr>
        <w:pStyle w:val="2"/>
        <w:keepNext w:val="0"/>
        <w:keepLines w:val="0"/>
        <w:pageBreakBefore w:val="0"/>
        <w:widowControl/>
        <w:kinsoku w:val="0"/>
        <w:wordWrap/>
        <w:overflowPunct/>
        <w:topLinePunct w:val="0"/>
        <w:autoSpaceDE w:val="0"/>
        <w:autoSpaceDN w:val="0"/>
        <w:bidi w:val="0"/>
        <w:adjustRightInd w:val="0"/>
        <w:snapToGrid w:val="0"/>
        <w:spacing w:line="600" w:lineRule="atLeast"/>
        <w:ind w:left="0" w:right="0" w:firstLine="616" w:firstLineChars="200"/>
        <w:jc w:val="both"/>
        <w:textAlignment w:val="baseline"/>
        <w:outlineLvl w:val="9"/>
        <w:rPr>
          <w:rFonts w:ascii="Times New Roman" w:hAnsi="Times New Roman" w:eastAsia="Times New Roman" w:cs="Times New Roman"/>
          <w:spacing w:val="4"/>
        </w:rPr>
      </w:pPr>
    </w:p>
    <w:p w14:paraId="5D11C081">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2022年，蓝山县不断健全全方位、全过程、全覆盖的预算绩效管理体系，通过强化主体责任、完善管理措施、实行部门联动，推动预算绩效管理提质增效，财政政策效能和财政资金使用效益进一步提高。</w:t>
      </w:r>
    </w:p>
    <w:p w14:paraId="374505C6">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outlineLvl w:val="9"/>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一、着眼长效管用，全面夯实绩效基础体系</w:t>
      </w:r>
    </w:p>
    <w:p w14:paraId="5AFBD2B0">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（一）以制度建设促绩效管理全过程化</w:t>
      </w:r>
    </w:p>
    <w:p w14:paraId="00D45635">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结合我县实际出台《蓝山县预算绩效管理实施办法》等文件健全全过程预算绩效管理制度。组织对县本级预算单位的预算执行情况和绩效目标实现程度开展发现问题及时纠偏。</w:t>
      </w:r>
    </w:p>
    <w:p w14:paraId="12E10572">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（二）以指标完善促绩效管理精细化</w:t>
      </w:r>
    </w:p>
    <w:p w14:paraId="44E7675E">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推进分行业、分领域、分层次的预算绩效指标体系建设，逐步建立适用高效、便于操作的绩效核心指标库，实现“共性与个性、定量与定性、产出与效果”的有机结合。积极探索构建产业政策、养老保险基金等特色指标体系</w:t>
      </w:r>
      <w:bookmarkStart w:id="0" w:name="_GoBack"/>
      <w:bookmarkEnd w:id="0"/>
      <w:r>
        <w:rPr>
          <w:rFonts w:hint="eastAsia" w:ascii="Times New Roman" w:hAnsi="Times New Roman" w:eastAsia="仿宋_GB2312" w:cs="Times New Roman"/>
          <w:b w:val="0"/>
          <w:bCs w:val="0"/>
          <w:snapToGrid/>
          <w:color w:val="000000"/>
          <w:kern w:val="2"/>
          <w:sz w:val="32"/>
          <w:szCs w:val="32"/>
          <w:highlight w:val="none"/>
          <w:lang w:val="en-US" w:eastAsia="zh-CN" w:bidi="ar-SA"/>
        </w:rPr>
        <w:t>。</w:t>
      </w:r>
    </w:p>
    <w:p w14:paraId="5FDAC89B">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（三）</w:t>
      </w:r>
      <w:r>
        <w:rPr>
          <w:rFonts w:hint="eastAsia" w:ascii="楷体" w:hAnsi="楷体" w:eastAsia="楷体" w:cs="楷体"/>
          <w:b/>
          <w:bCs/>
          <w:snapToGrid/>
          <w:color w:val="000000"/>
          <w:kern w:val="2"/>
          <w:sz w:val="32"/>
          <w:szCs w:val="32"/>
          <w:lang w:val="en-US" w:eastAsia="en-US" w:bidi="ar-SA"/>
        </w:rPr>
        <w:t>以信息手段促绩效管理高效化</w:t>
      </w:r>
    </w:p>
    <w:p w14:paraId="14274D44">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充分运用蓝山县财政预算绩效管理信息系统，推动对预算绩效管理工作的信息化建设。在目标申报、绩效自评、部门监控等环节，完善角色设置，优化操作流程，推动预算单位主动参与预算绩效管理，实现数据对接、信息共享和智能化监控，提高预算绩效管理工作的质量和效率。</w:t>
      </w:r>
    </w:p>
    <w:p w14:paraId="344E7EFE">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outlineLvl w:val="9"/>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二、聚焦创新引领，纵深推动财政重点评价</w:t>
      </w:r>
    </w:p>
    <w:p w14:paraId="5F555D23">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（一）不断拓宽绩效评价范围，创新绩效评价方式</w:t>
      </w:r>
    </w:p>
    <w:p w14:paraId="33562BD7">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围绕县本级重大项目和政策实施财政重点绩效评价，评价类型涵盖部门整体支出、项目支出等。探索和创新评价思路，通过厘清对政策和项目实效产生影响的关键环节，不断调整完善考核方法和指标，采用定量和定性的方法进行评价。</w:t>
      </w:r>
    </w:p>
    <w:p w14:paraId="5303B95D">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（二）持续加强对第三方监管，严把绩效评价质量关</w:t>
      </w:r>
    </w:p>
    <w:p w14:paraId="193F161B">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组建绩效评价小组，组织第三方评价机构开展重点绩效评价业务培训，提高执业人员对财政预算管理、行政事业单位相关政策和制度等知识的了解，规范评价流程，提高实操水平。</w:t>
      </w:r>
    </w:p>
    <w:p w14:paraId="71915BED">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outlineLvl w:val="9"/>
        <w:rPr>
          <w:rFonts w:hint="eastAsia" w:ascii="黑体" w:hAnsi="黑体" w:eastAsia="黑体" w:cs="黑体"/>
          <w:snapToGrid/>
          <w:color w:val="000000" w:themeColor="text1"/>
          <w:kern w:val="2"/>
          <w:sz w:val="32"/>
          <w:szCs w:val="32"/>
          <w:lang w:eastAsia="zh-CN"/>
          <w14:textFill>
            <w14:solidFill>
              <w14:schemeClr w14:val="tx1"/>
            </w14:solidFill>
          </w14:textFill>
        </w:rPr>
      </w:pPr>
      <w:r>
        <w:rPr>
          <w:rFonts w:hint="eastAsia" w:ascii="黑体" w:hAnsi="黑体" w:eastAsia="黑体" w:cs="黑体"/>
          <w:snapToGrid/>
          <w:color w:val="000000" w:themeColor="text1"/>
          <w:kern w:val="2"/>
          <w:sz w:val="32"/>
          <w:szCs w:val="32"/>
          <w:lang w:eastAsia="zh-CN"/>
          <w14:textFill>
            <w14:solidFill>
              <w14:schemeClr w14:val="tx1"/>
            </w14:solidFill>
          </w14:textFill>
        </w:rPr>
        <w:t>三、坚持问题导向，有效发挥绩效指挥棒作用</w:t>
      </w:r>
    </w:p>
    <w:p w14:paraId="769CADB7">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（一）实行绩效联控，形成预算绩效管理合力</w:t>
      </w:r>
    </w:p>
    <w:p w14:paraId="1303C895">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健全与人大、纪检监察、组织、审计等部门的联控机制，做到信息共享、工作共推、成果共用、整改共抓，提高工作效率，进一步规范财政管理、维护财经纪律、提高财政资金绩效。</w:t>
      </w:r>
    </w:p>
    <w:p w14:paraId="1E32D6FB">
      <w:pPr>
        <w:pStyle w:val="2"/>
        <w:keepNext w:val="0"/>
        <w:keepLines w:val="0"/>
        <w:pageBreakBefore w:val="0"/>
        <w:wordWrap/>
        <w:overflowPunct/>
        <w:topLinePunct w:val="0"/>
        <w:bidi w:val="0"/>
        <w:spacing w:line="600" w:lineRule="atLeast"/>
        <w:ind w:left="0" w:right="0" w:firstLine="643" w:firstLineChars="200"/>
        <w:jc w:val="both"/>
        <w:outlineLvl w:val="9"/>
        <w:rPr>
          <w:rFonts w:hint="eastAsia" w:ascii="楷体" w:hAnsi="楷体" w:eastAsia="楷体" w:cs="楷体"/>
          <w:b/>
          <w:bCs/>
          <w:snapToGrid/>
          <w:color w:val="000000"/>
          <w:kern w:val="2"/>
          <w:sz w:val="32"/>
          <w:szCs w:val="32"/>
          <w:lang w:val="en-US" w:eastAsia="zh-CN" w:bidi="ar-SA"/>
        </w:rPr>
      </w:pPr>
      <w:r>
        <w:rPr>
          <w:rFonts w:hint="eastAsia" w:ascii="楷体" w:hAnsi="楷体" w:eastAsia="楷体" w:cs="楷体"/>
          <w:b/>
          <w:bCs/>
          <w:snapToGrid/>
          <w:color w:val="000000"/>
          <w:kern w:val="2"/>
          <w:sz w:val="32"/>
          <w:szCs w:val="32"/>
          <w:lang w:val="en-US" w:eastAsia="zh-CN" w:bidi="ar-SA"/>
        </w:rPr>
        <w:t>（二）强化绩效约束，深度应用绩效评价结果</w:t>
      </w:r>
    </w:p>
    <w:p w14:paraId="55254AF6">
      <w:pPr>
        <w:pStyle w:val="2"/>
        <w:keepNext w:val="0"/>
        <w:keepLines w:val="0"/>
        <w:pageBreakBefore w:val="0"/>
        <w:wordWrap/>
        <w:overflowPunct/>
        <w:topLinePunct w:val="0"/>
        <w:bidi w:val="0"/>
        <w:spacing w:line="600" w:lineRule="atLeast"/>
        <w:ind w:left="0" w:right="0" w:firstLine="640" w:firstLineChars="200"/>
        <w:jc w:val="both"/>
        <w:outlineLvl w:val="9"/>
        <w:rPr>
          <w:rFonts w:hint="eastAsia" w:ascii="Times New Roman" w:hAnsi="Times New Roman" w:eastAsia="仿宋_GB2312" w:cs="Times New Roman"/>
          <w:b w:val="0"/>
          <w:bCs w:val="0"/>
          <w:snapToGrid/>
          <w:color w:val="000000"/>
          <w:kern w:val="2"/>
          <w:sz w:val="32"/>
          <w:szCs w:val="32"/>
          <w:highlight w:val="none"/>
          <w:lang w:val="en-US" w:eastAsia="zh-CN" w:bidi="ar-SA"/>
        </w:rPr>
      </w:pPr>
      <w:r>
        <w:rPr>
          <w:rFonts w:hint="eastAsia" w:ascii="Times New Roman" w:hAnsi="Times New Roman" w:eastAsia="仿宋_GB2312" w:cs="Times New Roman"/>
          <w:b w:val="0"/>
          <w:bCs w:val="0"/>
          <w:snapToGrid/>
          <w:color w:val="000000"/>
          <w:kern w:val="2"/>
          <w:sz w:val="32"/>
          <w:szCs w:val="32"/>
          <w:highlight w:val="none"/>
          <w:lang w:val="en-US" w:eastAsia="zh-CN" w:bidi="ar-SA"/>
        </w:rPr>
        <w:t>对整体和项目绩效评价结果为“中”及以下的，在编制2023年预算时进行统一核减；对管理不善或政策环境已发生明显变化的项目进行调整或取消；对历年预算执行较慢、结余较多的资金一律收回，统筹用于稳增长、防风险等重点领域。督促单位对评价中发现的问题及时整改，同时将重点绩效评价结果纳入对政府部门的考核范围，实现财政资金绩效管理和政府行政绩效考核的深度融合。</w:t>
      </w:r>
    </w:p>
    <w:sectPr>
      <w:footerReference r:id="rId5" w:type="default"/>
      <w:pgSz w:w="11906" w:h="16839"/>
      <w:pgMar w:top="1431" w:right="1451" w:bottom="1674" w:left="1544" w:header="0" w:footer="14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A3986">
    <w:pPr>
      <w:spacing w:line="174" w:lineRule="auto"/>
      <w:ind w:left="7570"/>
      <w:rPr>
        <w:rFonts w:ascii="宋体" w:hAnsi="宋体" w:eastAsia="宋体" w:cs="宋体"/>
        <w:sz w:val="28"/>
        <w:szCs w:val="28"/>
      </w:rPr>
    </w:pPr>
    <w:r>
      <w:rPr>
        <w:rFonts w:ascii="宋体" w:hAnsi="宋体" w:eastAsia="宋体" w:cs="宋体"/>
        <w:spacing w:val="-7"/>
        <w:sz w:val="28"/>
        <w:szCs w:val="28"/>
      </w:rPr>
      <w:t>—</w:t>
    </w:r>
    <w:r>
      <w:rPr>
        <w:rFonts w:ascii="Times New Roman" w:hAnsi="Times New Roman" w:eastAsia="Times New Roman" w:cs="Times New Roman"/>
        <w:spacing w:val="-7"/>
        <w:sz w:val="28"/>
        <w:szCs w:val="28"/>
      </w:rPr>
      <w:t>3</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kMTZlZDMyOTM0MjMwZjdlNzI5MjdkNmEyYzUyZjcifQ=="/>
  </w:docVars>
  <w:rsids>
    <w:rsidRoot w:val="00000000"/>
    <w:rsid w:val="1516704C"/>
    <w:rsid w:val="1DD22980"/>
    <w:rsid w:val="30D96DE5"/>
    <w:rsid w:val="710677BC"/>
    <w:rsid w:val="78EA0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微软雅黑" w:hAnsi="微软雅黑" w:eastAsia="微软雅黑" w:cs="微软雅黑"/>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1068</Words>
  <Characters>1077</Characters>
  <TotalTime>9</TotalTime>
  <ScaleCrop>false</ScaleCrop>
  <LinksUpToDate>false</LinksUpToDate>
  <CharactersWithSpaces>1077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2023-10-23T10:20:00Z</dcterms:created>
  <dc:creator>czj</dc:creator>
  <cp:lastModifiedBy>ZWN</cp:lastModifiedBy>
  <dcterms:modified xsi:type="dcterms:W3CDTF">2024-10-30T11:20:17Z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2024-10-30T09:17:59Z</vt:filetime>
  </property>
  <property fmtid="{D5CDD505-2E9C-101B-9397-08002B2CF9AE}" pid="4" name="KSOProductBuildVer">
    <vt:lpwstr>2052-12.1.0.18608</vt:lpwstr>
  </property>
  <property fmtid="{D5CDD505-2E9C-101B-9397-08002B2CF9AE}" pid="5" name="ICV">
    <vt:lpwstr>37B0C0C7BFF648568A54B77A401B0336_13</vt:lpwstr>
  </property>
</Properties>
</file>