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蓝山县广播电视台</w:t>
      </w:r>
      <w:r>
        <w:rPr>
          <w:rFonts w:hint="eastAsia" w:ascii="方正小标宋简体" w:hAnsi="方正小标宋简体" w:eastAsia="方正小标宋简体" w:cs="方正小标宋简体"/>
          <w:sz w:val="44"/>
          <w:szCs w:val="44"/>
        </w:rPr>
        <w:t>2019年度部门决算</w:t>
      </w:r>
      <w:r>
        <w:rPr>
          <w:rFonts w:hint="eastAsia" w:ascii="方正小标宋简体" w:hAnsi="方正小标宋简体" w:eastAsia="方正小标宋简体" w:cs="方正小标宋简体"/>
          <w:sz w:val="44"/>
          <w:szCs w:val="44"/>
          <w:lang w:val="en-US" w:eastAsia="zh-CN"/>
        </w:rPr>
        <w:t>公开</w:t>
      </w:r>
    </w:p>
    <w:p>
      <w:pPr>
        <w:pStyle w:val="13"/>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目录</w:t>
      </w:r>
    </w:p>
    <w:p>
      <w:pPr>
        <w:pStyle w:val="13"/>
        <w:keepNext w:val="0"/>
        <w:keepLines w:val="0"/>
        <w:pageBreakBefore w:val="0"/>
        <w:widowControl w:val="0"/>
        <w:kinsoku/>
        <w:wordWrap/>
        <w:overflowPunct/>
        <w:topLinePunct w:val="0"/>
        <w:bidi w:val="0"/>
        <w:snapToGrid/>
        <w:spacing w:line="480" w:lineRule="exac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第一部分</w:t>
      </w:r>
      <w:r>
        <w:rPr>
          <w:rFonts w:hint="eastAsia" w:ascii="仿宋_GB2312" w:hAnsi="仿宋_GB2312" w:eastAsia="仿宋_GB2312" w:cs="仿宋_GB2312"/>
          <w:b/>
          <w:sz w:val="32"/>
          <w:szCs w:val="32"/>
          <w:u w:val="none"/>
          <w:lang w:val="en-US" w:eastAsia="zh-CN"/>
        </w:rPr>
        <w:t>蓝山县广播电视台单位</w:t>
      </w:r>
      <w:r>
        <w:rPr>
          <w:rFonts w:hint="eastAsia" w:ascii="仿宋_GB2312" w:hAnsi="仿宋_GB2312" w:eastAsia="仿宋_GB2312" w:cs="仿宋_GB2312"/>
          <w:b/>
          <w:sz w:val="32"/>
          <w:szCs w:val="32"/>
        </w:rPr>
        <w:t>概况</w:t>
      </w:r>
    </w:p>
    <w:p>
      <w:pPr>
        <w:pStyle w:val="13"/>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13"/>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13"/>
        <w:keepNext w:val="0"/>
        <w:keepLines w:val="0"/>
        <w:pageBreakBefore w:val="0"/>
        <w:widowControl w:val="0"/>
        <w:kinsoku/>
        <w:wordWrap/>
        <w:overflowPunct/>
        <w:topLinePunct w:val="0"/>
        <w:bidi w:val="0"/>
        <w:snapToGrid/>
        <w:spacing w:line="480" w:lineRule="exac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第二部分2019年度部门决算表</w:t>
      </w:r>
    </w:p>
    <w:p>
      <w:pPr>
        <w:pStyle w:val="13"/>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3"/>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3"/>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3"/>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3"/>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13"/>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13"/>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13"/>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13"/>
        <w:keepNext w:val="0"/>
        <w:keepLines w:val="0"/>
        <w:pageBreakBefore w:val="0"/>
        <w:widowControl w:val="0"/>
        <w:kinsoku/>
        <w:wordWrap/>
        <w:overflowPunct/>
        <w:topLinePunct w:val="0"/>
        <w:bidi w:val="0"/>
        <w:snapToGrid/>
        <w:spacing w:line="480" w:lineRule="exac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第三部分2019年度部门决算情况说明</w:t>
      </w:r>
    </w:p>
    <w:p>
      <w:pPr>
        <w:pStyle w:val="13"/>
        <w:keepNext w:val="0"/>
        <w:keepLines w:val="0"/>
        <w:pageBreakBefore w:val="0"/>
        <w:widowControl w:val="0"/>
        <w:kinsoku/>
        <w:wordWrap/>
        <w:overflowPunct/>
        <w:topLinePunct w:val="0"/>
        <w:bidi w:val="0"/>
        <w:snapToGrid/>
        <w:spacing w:line="480" w:lineRule="exact"/>
        <w:ind w:firstLine="800" w:firstLineChars="2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bidi w:val="0"/>
        <w:snapToGrid/>
        <w:spacing w:line="480" w:lineRule="exact"/>
        <w:ind w:firstLine="800" w:firstLineChars="25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00" w:firstLineChars="25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十、其他重要事项情况说明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第四部分名词解释</w:t>
      </w:r>
    </w:p>
    <w:p>
      <w:pPr>
        <w:keepNext w:val="0"/>
        <w:keepLines w:val="0"/>
        <w:pageBreakBefore w:val="0"/>
        <w:widowControl w:val="0"/>
        <w:kinsoku/>
        <w:wordWrap/>
        <w:overflowPunct/>
        <w:topLinePunct w:val="0"/>
        <w:bidi w:val="0"/>
        <w:snapToGrid/>
        <w:spacing w:line="480" w:lineRule="exact"/>
        <w:jc w:val="left"/>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第五部分附件</w:t>
      </w:r>
    </w:p>
    <w:p>
      <w:pPr>
        <w:keepNext w:val="0"/>
        <w:keepLines w:val="0"/>
        <w:pageBreakBefore w:val="0"/>
        <w:widowControl w:val="0"/>
        <w:kinsoku/>
        <w:wordWrap/>
        <w:overflowPunct/>
        <w:topLinePunct w:val="0"/>
        <w:bidi w:val="0"/>
        <w:snapToGrid/>
        <w:spacing w:line="480" w:lineRule="exact"/>
        <w:jc w:val="center"/>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bidi w:val="0"/>
        <w:snapToGrid/>
        <w:spacing w:line="480" w:lineRule="exact"/>
        <w:jc w:val="center"/>
        <w:textAlignment w:val="auto"/>
        <w:outlineLvl w:val="9"/>
        <w:rPr>
          <w:rFonts w:ascii="黑体" w:hAnsi="黑体" w:eastAsia="黑体"/>
          <w:b/>
          <w:bCs/>
          <w:sz w:val="32"/>
          <w:szCs w:val="32"/>
        </w:rPr>
      </w:pPr>
      <w:r>
        <w:rPr>
          <w:rFonts w:hint="eastAsia" w:ascii="仿宋_GB2312" w:hAnsi="仿宋_GB2312" w:eastAsia="仿宋_GB2312" w:cs="仿宋_GB2312"/>
          <w:b/>
          <w:bCs/>
          <w:sz w:val="32"/>
          <w:szCs w:val="32"/>
        </w:rPr>
        <w:t>第一部分</w:t>
      </w:r>
      <w:r>
        <w:rPr>
          <w:rFonts w:hint="eastAsia" w:ascii="仿宋_GB2312" w:hAnsi="仿宋_GB2312" w:eastAsia="仿宋_GB2312" w:cs="仿宋_GB2312"/>
          <w:b/>
          <w:bCs/>
          <w:sz w:val="32"/>
          <w:szCs w:val="32"/>
          <w:lang w:val="en-US" w:eastAsia="zh-CN"/>
        </w:rPr>
        <w:t>蓝山县广播电视台</w:t>
      </w:r>
      <w:r>
        <w:rPr>
          <w:rFonts w:hint="eastAsia" w:ascii="仿宋_GB2312" w:hAnsi="仿宋_GB2312" w:eastAsia="仿宋_GB2312" w:cs="仿宋_GB2312"/>
          <w:b/>
          <w:bCs/>
          <w:sz w:val="32"/>
          <w:szCs w:val="32"/>
        </w:rPr>
        <w:t>单位概况</w:t>
      </w:r>
    </w:p>
    <w:p>
      <w:pPr>
        <w:pStyle w:val="14"/>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根据蓝政办发[2012]19号文件规定，本单位主要工作职责如下：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贯彻执行党中央、国务院及省、市、县有关新闻宣传、广播电视文艺宣传的法律法规和方针政策，把握正确舆论导向，不断提高节目质量和办台水平，当好党和人民的喉舌。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负责蓝山县广播电视新闻宣传节目制作、对外合作交流、安全播出、安全传输发射、广电有线网络以及新媒体建设等任务。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lang w:val="en-US" w:eastAsia="zh-CN"/>
        </w:rPr>
        <w:t>3、</w:t>
      </w:r>
      <w:r>
        <w:rPr>
          <w:rFonts w:hint="eastAsia" w:ascii="仿宋" w:hAnsi="仿宋" w:eastAsia="仿宋" w:cs="仿宋"/>
          <w:bCs/>
          <w:kern w:val="0"/>
          <w:sz w:val="32"/>
          <w:szCs w:val="32"/>
        </w:rPr>
        <w:t>负责拟定全县广播电视事业、产业发展规划，负责组织审查广告播出，开展相关经营；负责广播电视有线传输网络的设计、建设、维护以及开发应用，发展壮大广播电视产业，促进广播电视事业发展。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lang w:val="en-US" w:eastAsia="zh-CN"/>
        </w:rPr>
        <w:t>4、</w:t>
      </w:r>
      <w:r>
        <w:rPr>
          <w:rFonts w:hint="eastAsia" w:ascii="仿宋" w:hAnsi="仿宋" w:eastAsia="仿宋" w:cs="仿宋"/>
          <w:bCs/>
          <w:kern w:val="0"/>
          <w:sz w:val="32"/>
          <w:szCs w:val="32"/>
        </w:rPr>
        <w:t>负责全县广播电视新技术的科学研究和开发利用。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lang w:val="en-US" w:eastAsia="zh-CN"/>
        </w:rPr>
        <w:t>5、</w:t>
      </w:r>
      <w:r>
        <w:rPr>
          <w:rFonts w:hint="eastAsia" w:ascii="仿宋" w:hAnsi="仿宋" w:eastAsia="仿宋" w:cs="仿宋"/>
          <w:bCs/>
          <w:kern w:val="0"/>
          <w:sz w:val="32"/>
          <w:szCs w:val="32"/>
        </w:rPr>
        <w:t>负责全县广播电视人才的培训、培养、引进和使用工作。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kern w:val="0"/>
          <w:sz w:val="32"/>
          <w:szCs w:val="32"/>
        </w:rPr>
      </w:pPr>
      <w:r>
        <w:rPr>
          <w:rFonts w:hint="eastAsia" w:ascii="仿宋" w:hAnsi="仿宋" w:eastAsia="仿宋" w:cs="仿宋"/>
          <w:bCs/>
          <w:kern w:val="0"/>
          <w:sz w:val="32"/>
          <w:szCs w:val="32"/>
          <w:lang w:val="en-US" w:eastAsia="zh-CN"/>
        </w:rPr>
        <w:t>6、</w:t>
      </w:r>
      <w:r>
        <w:rPr>
          <w:rFonts w:hint="eastAsia" w:ascii="仿宋" w:hAnsi="仿宋" w:eastAsia="仿宋" w:cs="仿宋"/>
          <w:bCs/>
          <w:kern w:val="0"/>
          <w:sz w:val="32"/>
          <w:szCs w:val="32"/>
        </w:rPr>
        <w:t>承办县委、县人民政府交办的其他事项。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（一）内设机构设置。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i w:val="0"/>
          <w:caps w:val="0"/>
          <w:color w:val="auto"/>
          <w:spacing w:val="0"/>
          <w:kern w:val="0"/>
          <w:sz w:val="32"/>
          <w:szCs w:val="32"/>
          <w:shd w:val="clear" w:color="auto" w:fill="FFFFFF"/>
          <w:lang w:val="en-US" w:eastAsia="zh-CN" w:bidi="ar"/>
        </w:rPr>
      </w:pPr>
      <w:r>
        <w:rPr>
          <w:rFonts w:hint="eastAsia" w:ascii="仿宋" w:hAnsi="仿宋" w:eastAsia="仿宋" w:cs="仿宋"/>
          <w:b w:val="0"/>
          <w:i w:val="0"/>
          <w:caps w:val="0"/>
          <w:color w:val="auto"/>
          <w:spacing w:val="0"/>
          <w:kern w:val="0"/>
          <w:sz w:val="32"/>
          <w:szCs w:val="32"/>
          <w:shd w:val="clear" w:color="auto" w:fill="FFFFFF"/>
          <w:lang w:val="en-US" w:eastAsia="zh-CN" w:bidi="ar"/>
        </w:rPr>
        <w:t>蓝山县广播电视台为独立核算正科级全额拨款事业机构，共设办公室、财会室、新闻采编部、广告文艺部、等7个股室，下辖乡镇有线广播电视中心、羊车岭转播站2个股级机构。共有全额拨款事业编制数77名，年末实有在职人员73人（包括网络公司13人），退休人员30人,遗属6人。车辆编制3台，目前实有车辆3台。</w:t>
      </w:r>
    </w:p>
    <w:p>
      <w:pPr>
        <w:numPr>
          <w:ilvl w:val="0"/>
          <w:numId w:val="2"/>
        </w:numPr>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决算单位构成。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eastAsia="仿宋"/>
          <w:sz w:val="72"/>
          <w:szCs w:val="72"/>
          <w:lang w:eastAsia="zh-CN"/>
        </w:rPr>
      </w:pPr>
      <w:r>
        <w:rPr>
          <w:rFonts w:hint="eastAsia" w:ascii="仿宋" w:hAnsi="仿宋" w:eastAsia="仿宋" w:cs="仿宋"/>
          <w:b w:val="0"/>
          <w:i w:val="0"/>
          <w:caps w:val="0"/>
          <w:color w:val="auto"/>
          <w:spacing w:val="0"/>
          <w:kern w:val="0"/>
          <w:sz w:val="32"/>
          <w:szCs w:val="32"/>
          <w:shd w:val="clear" w:color="auto" w:fill="FFFFFF"/>
          <w:lang w:val="en-US" w:eastAsia="zh-CN" w:bidi="ar"/>
        </w:rPr>
        <w:t>我单位均纳入2019年部门决算编制范围。</w:t>
      </w: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footerReference r:id="rId3" w:type="default"/>
          <w:pgSz w:w="11906" w:h="16838"/>
          <w:pgMar w:top="1440" w:right="1800" w:bottom="1440" w:left="1800" w:header="851" w:footer="992" w:gutter="0"/>
          <w:cols w:space="425" w:num="1"/>
          <w:docGrid w:type="lines" w:linePitch="312" w:charSpace="0"/>
        </w:sect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第二部分部门决算表</w:t>
      </w:r>
    </w:p>
    <w:p>
      <w:pPr>
        <w:jc w:val="center"/>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蓝山县广播电视台</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w:t>
      </w:r>
      <w:r>
        <w:rPr>
          <w:rFonts w:ascii="Times New Roman" w:hAnsi="Times New Roman" w:eastAsia="仿宋_GB2312" w:cs="Times New Roman"/>
          <w:color w:val="000000"/>
          <w:kern w:val="0"/>
          <w:szCs w:val="21"/>
        </w:rPr>
        <w:t>01</w:t>
      </w:r>
      <w:r>
        <w:rPr>
          <w:rFonts w:hint="eastAsia" w:ascii="Times New Roman" w:hAnsi="Times New Roman" w:eastAsia="仿宋_GB2312" w:cs="Times New Roman"/>
          <w:color w:val="000000"/>
          <w:kern w:val="0"/>
          <w:szCs w:val="21"/>
        </w:rPr>
        <w:t>表</w:t>
      </w:r>
    </w:p>
    <w:p>
      <w:pPr>
        <w:widowControl/>
        <w:spacing w:line="320" w:lineRule="exact"/>
        <w:ind w:right="198"/>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单位：万元</w:t>
      </w:r>
    </w:p>
    <w:tbl>
      <w:tblPr>
        <w:tblStyle w:val="10"/>
        <w:tblW w:w="14061" w:type="dxa"/>
        <w:jc w:val="center"/>
        <w:tblInd w:w="0" w:type="dxa"/>
        <w:tblLayout w:type="fixed"/>
        <w:tblCellMar>
          <w:top w:w="0" w:type="dxa"/>
          <w:left w:w="108" w:type="dxa"/>
          <w:bottom w:w="0" w:type="dxa"/>
          <w:right w:w="108" w:type="dxa"/>
        </w:tblCellMar>
      </w:tblPr>
      <w:tblGrid>
        <w:gridCol w:w="4932"/>
        <w:gridCol w:w="702"/>
        <w:gridCol w:w="1224"/>
        <w:gridCol w:w="4820"/>
        <w:gridCol w:w="702"/>
        <w:gridCol w:w="1681"/>
      </w:tblGrid>
      <w:tr>
        <w:tblPrEx>
          <w:tblLayout w:type="fixed"/>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收入</w:t>
            </w:r>
          </w:p>
        </w:tc>
        <w:tc>
          <w:tcPr>
            <w:tcW w:w="7203" w:type="dxa"/>
            <w:gridSpan w:val="3"/>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支出</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vAlign w:val="center"/>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22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一、一般公共预算财政拨款收入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二、政府性基金预算财政拨款收入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二、外交支出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三、上级补助收入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三、国防支出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四、事业收入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四、公共安全支出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五、经营收入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五、教育支出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六、附属单位上缴收入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六、科学技术支出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七、其他收入</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七、文化旅游体育与传媒支出</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681"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68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本年收入合计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本年支出合计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681"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rPr>
              <w:t>　</w:t>
            </w:r>
            <w:r>
              <w:rPr>
                <w:rFonts w:hint="eastAsia" w:ascii="Times New Roman" w:hAnsi="Times New Roman" w:eastAsia="仿宋_GB2312" w:cs="Times New Roman"/>
                <w:b/>
                <w:bCs/>
                <w:kern w:val="0"/>
                <w:szCs w:val="21"/>
                <w:lang w:val="en-US" w:eastAsia="zh-CN"/>
              </w:rPr>
              <w:t>893.28</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用事业基金弥补收支差额</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结余分配</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68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年初结转和结余</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年末结转和结余</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68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68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224"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681"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rPr>
              <w:t>　</w:t>
            </w:r>
            <w:r>
              <w:rPr>
                <w:rFonts w:hint="eastAsia" w:ascii="Times New Roman" w:hAnsi="Times New Roman" w:eastAsia="仿宋_GB2312" w:cs="Times New Roman"/>
                <w:b/>
                <w:bCs/>
                <w:kern w:val="0"/>
                <w:szCs w:val="21"/>
                <w:lang w:val="en-US" w:eastAsia="zh-CN"/>
              </w:rPr>
              <w:t>893.28</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注：本表反映部门本年度的总收支和年末结转结余情况。</w:t>
      </w:r>
    </w:p>
    <w:p>
      <w:pPr>
        <w:widowControl/>
        <w:jc w:val="left"/>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r>
        <w:rPr>
          <w:rFonts w:ascii="Times New Roman" w:hAnsi="Times New Roman" w:eastAsia="黑体" w:cs="Times New Roman"/>
          <w:bCs/>
          <w:kern w:val="0"/>
          <w:sz w:val="32"/>
          <w:szCs w:val="32"/>
        </w:rPr>
        <w:br w:type="page"/>
      </w: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val="en-US" w:eastAsia="zh-CN"/>
        </w:rPr>
        <w:t>蓝山县广播电视台</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公开02表</w:t>
      </w:r>
    </w:p>
    <w:p>
      <w:pPr>
        <w:widowControl/>
        <w:ind w:right="63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10"/>
        <w:tblW w:w="13813" w:type="dxa"/>
        <w:jc w:val="center"/>
        <w:tblInd w:w="0" w:type="dxa"/>
        <w:tblLayout w:type="fixed"/>
        <w:tblCellMar>
          <w:top w:w="0" w:type="dxa"/>
          <w:left w:w="108" w:type="dxa"/>
          <w:bottom w:w="0" w:type="dxa"/>
          <w:right w:w="108" w:type="dxa"/>
        </w:tblCellMar>
      </w:tblPr>
      <w:tblGrid>
        <w:gridCol w:w="1197"/>
        <w:gridCol w:w="1188"/>
        <w:gridCol w:w="1676"/>
        <w:gridCol w:w="1595"/>
        <w:gridCol w:w="1676"/>
        <w:gridCol w:w="1382"/>
        <w:gridCol w:w="1412"/>
        <w:gridCol w:w="1676"/>
        <w:gridCol w:w="2011"/>
      </w:tblGrid>
      <w:tr>
        <w:tblPrEx>
          <w:tblLayout w:type="fixed"/>
          <w:tblCellMar>
            <w:top w:w="0" w:type="dxa"/>
            <w:left w:w="108" w:type="dxa"/>
            <w:bottom w:w="0" w:type="dxa"/>
            <w:right w:w="108" w:type="dxa"/>
          </w:tblCellMar>
        </w:tblPrEx>
        <w:trPr>
          <w:trHeight w:val="450" w:hRule="atLeast"/>
          <w:jc w:val="center"/>
        </w:trPr>
        <w:tc>
          <w:tcPr>
            <w:tcW w:w="2385"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本年收入合计</w:t>
            </w:r>
          </w:p>
        </w:tc>
        <w:tc>
          <w:tcPr>
            <w:tcW w:w="1595"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财政拨款收入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其他收入</w:t>
            </w:r>
          </w:p>
        </w:tc>
      </w:tr>
      <w:tr>
        <w:tblPrEx>
          <w:tblLayout w:type="fixed"/>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szCs w:val="21"/>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50" w:hRule="atLeast"/>
          <w:jc w:val="center"/>
        </w:trPr>
        <w:tc>
          <w:tcPr>
            <w:tcW w:w="2385" w:type="dxa"/>
            <w:gridSpan w:val="2"/>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59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3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41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67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2011"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r>
      <w:tr>
        <w:tblPrEx>
          <w:tblLayout w:type="fixed"/>
          <w:tblCellMar>
            <w:top w:w="0" w:type="dxa"/>
            <w:left w:w="108" w:type="dxa"/>
            <w:bottom w:w="0" w:type="dxa"/>
            <w:right w:w="108" w:type="dxa"/>
          </w:tblCellMar>
        </w:tblPrEx>
        <w:trPr>
          <w:trHeight w:val="450" w:hRule="atLeast"/>
          <w:jc w:val="center"/>
        </w:trPr>
        <w:tc>
          <w:tcPr>
            <w:tcW w:w="2385" w:type="dxa"/>
            <w:gridSpan w:val="2"/>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　207</w:t>
            </w:r>
          </w:p>
        </w:tc>
        <w:tc>
          <w:tcPr>
            <w:tcW w:w="1188"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文化旅游体育与传媒支出</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20708</w:t>
            </w:r>
          </w:p>
        </w:tc>
        <w:tc>
          <w:tcPr>
            <w:tcW w:w="1188"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广播电视</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2070805</w:t>
            </w:r>
          </w:p>
        </w:tc>
        <w:tc>
          <w:tcPr>
            <w:tcW w:w="1188"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电视</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18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18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188"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95"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8"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8"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注：本表反映部门本年度取得的各项收入情况。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600"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部门：</w:t>
      </w:r>
      <w:r>
        <w:rPr>
          <w:rFonts w:hint="eastAsia" w:ascii="Times New Roman" w:hAnsi="Times New Roman" w:eastAsia="仿宋_GB2312" w:cs="Times New Roman"/>
          <w:color w:val="000000"/>
          <w:kern w:val="0"/>
          <w:szCs w:val="21"/>
          <w:lang w:val="en-US" w:eastAsia="zh-CN"/>
        </w:rPr>
        <w:t>蓝山县广播电视台</w:t>
      </w: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 w:val="20"/>
          <w:szCs w:val="20"/>
          <w:lang w:val="en-US" w:eastAsia="zh-CN"/>
        </w:rPr>
        <w:t xml:space="preserve">           </w:t>
      </w:r>
      <w:r>
        <w:rPr>
          <w:rFonts w:ascii="Times New Roman" w:hAnsi="Times New Roman" w:eastAsia="仿宋_GB2312" w:cs="Times New Roman"/>
          <w:color w:val="000000"/>
          <w:kern w:val="0"/>
          <w:sz w:val="20"/>
          <w:szCs w:val="20"/>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单位：万元</w:t>
      </w:r>
    </w:p>
    <w:tbl>
      <w:tblPr>
        <w:tblStyle w:val="10"/>
        <w:tblW w:w="1408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1249"/>
        <w:gridCol w:w="1775"/>
        <w:gridCol w:w="1985"/>
        <w:gridCol w:w="1842"/>
        <w:gridCol w:w="1843"/>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2351"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77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184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843"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230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249"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77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249"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77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2351"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775"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985"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08"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2351"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775"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842"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843"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　207</w:t>
            </w:r>
          </w:p>
        </w:tc>
        <w:tc>
          <w:tcPr>
            <w:tcW w:w="1249" w:type="dxa"/>
            <w:shd w:val="clear" w:color="auto" w:fill="auto"/>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文化旅游体育与传媒支出</w:t>
            </w:r>
          </w:p>
        </w:tc>
        <w:tc>
          <w:tcPr>
            <w:tcW w:w="1775" w:type="dxa"/>
            <w:shd w:val="clear" w:color="auto" w:fill="auto"/>
            <w:vAlign w:val="center"/>
          </w:tcPr>
          <w:p>
            <w:pPr>
              <w:widowControl/>
              <w:jc w:val="righ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842"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843"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20708</w:t>
            </w:r>
          </w:p>
        </w:tc>
        <w:tc>
          <w:tcPr>
            <w:tcW w:w="1249" w:type="dxa"/>
            <w:shd w:val="clear" w:color="auto" w:fill="auto"/>
            <w:vAlign w:val="center"/>
          </w:tcPr>
          <w:p>
            <w:pPr>
              <w:widowControl/>
              <w:jc w:val="left"/>
              <w:rPr>
                <w:rFonts w:hint="eastAsia"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广播电视</w:t>
            </w:r>
          </w:p>
        </w:tc>
        <w:tc>
          <w:tcPr>
            <w:tcW w:w="1775" w:type="dxa"/>
            <w:shd w:val="clear" w:color="auto" w:fill="auto"/>
            <w:vAlign w:val="center"/>
          </w:tcPr>
          <w:p>
            <w:pPr>
              <w:widowControl/>
              <w:jc w:val="righ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842"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843"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2070805</w:t>
            </w:r>
          </w:p>
        </w:tc>
        <w:tc>
          <w:tcPr>
            <w:tcW w:w="1249" w:type="dxa"/>
            <w:shd w:val="clear" w:color="auto" w:fill="auto"/>
            <w:vAlign w:val="center"/>
          </w:tcPr>
          <w:p>
            <w:pPr>
              <w:widowControl/>
              <w:jc w:val="left"/>
              <w:rPr>
                <w:rFonts w:hint="eastAsia"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电视</w:t>
            </w:r>
          </w:p>
        </w:tc>
        <w:tc>
          <w:tcPr>
            <w:tcW w:w="1775" w:type="dxa"/>
            <w:shd w:val="clear" w:color="auto" w:fill="auto"/>
            <w:vAlign w:val="center"/>
          </w:tcPr>
          <w:p>
            <w:pPr>
              <w:widowControl/>
              <w:jc w:val="righ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842"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843"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49"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7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49"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7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0" w:hRule="atLeast"/>
          <w:jc w:val="center"/>
        </w:trPr>
        <w:tc>
          <w:tcPr>
            <w:tcW w:w="110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49"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77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630"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公开04表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蓝山县广播电视台</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Cs w:val="21"/>
        </w:rPr>
        <w:t>单位：万元</w:t>
      </w:r>
    </w:p>
    <w:tbl>
      <w:tblPr>
        <w:tblStyle w:val="10"/>
        <w:tblW w:w="1465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62" w:hRule="atLeast"/>
          <w:jc w:val="center"/>
        </w:trPr>
        <w:tc>
          <w:tcPr>
            <w:tcW w:w="5354"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收入</w:t>
            </w:r>
          </w:p>
        </w:tc>
        <w:tc>
          <w:tcPr>
            <w:tcW w:w="9303" w:type="dxa"/>
            <w:gridSpan w:val="5"/>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3" w:hRule="atLeast"/>
          <w:jc w:val="center"/>
        </w:trPr>
        <w:tc>
          <w:tcPr>
            <w:tcW w:w="2994"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8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金额</w:t>
            </w:r>
          </w:p>
        </w:tc>
        <w:tc>
          <w:tcPr>
            <w:tcW w:w="3761"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3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166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一般公共预算财政拨款</w:t>
            </w:r>
          </w:p>
        </w:tc>
        <w:tc>
          <w:tcPr>
            <w:tcW w:w="1572"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761"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7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一、一般公共服务支出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二、政府性基金预算财政拨款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二、外交支出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三、国防支出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四、公共安全支出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五、教育支出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六、科学技术支出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七、文化旅游体育与传媒支出</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572"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0</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88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本年收入合计</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3761"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本年支出合计</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hint="eastAsia" w:ascii="Times New Roman" w:hAnsi="Times New Roman" w:eastAsia="仿宋_GB2312" w:cs="Times New Roman"/>
                <w:b/>
                <w:bCs/>
                <w:kern w:val="0"/>
                <w:szCs w:val="21"/>
                <w:lang w:val="en-US" w:eastAsia="zh-CN"/>
              </w:rPr>
            </w:pPr>
            <w:r>
              <w:rPr>
                <w:rFonts w:ascii="Times New Roman" w:hAnsi="Times New Roman" w:eastAsia="仿宋_GB2312" w:cs="Times New Roman"/>
                <w:b/>
                <w:bCs/>
                <w:kern w:val="0"/>
                <w:szCs w:val="21"/>
              </w:rPr>
              <w:t>　</w:t>
            </w:r>
            <w:r>
              <w:rPr>
                <w:rFonts w:hint="eastAsia" w:ascii="Times New Roman" w:hAnsi="Times New Roman" w:eastAsia="仿宋_GB2312" w:cs="Times New Roman"/>
                <w:b/>
                <w:bCs/>
                <w:kern w:val="0"/>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年初财政拨款结转和结余</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年末财政拨款结转和结余</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w:t>
            </w:r>
            <w:r>
              <w:rPr>
                <w:rFonts w:ascii="Times New Roman" w:hAnsi="Times New Roman" w:eastAsia="仿宋_GB2312" w:cs="Times New Roman"/>
                <w:kern w:val="0"/>
                <w:szCs w:val="21"/>
              </w:rPr>
              <w:t>一般公共预算财政拨款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政府性基金预算财政拨款</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27</w:t>
            </w:r>
          </w:p>
        </w:tc>
        <w:tc>
          <w:tcPr>
            <w:tcW w:w="18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jc w:val="center"/>
        </w:trPr>
        <w:tc>
          <w:tcPr>
            <w:tcW w:w="2994"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8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88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3761" w:type="dxa"/>
            <w:shd w:val="clear" w:color="auto" w:fill="auto"/>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3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1880"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893.28</w:t>
            </w:r>
          </w:p>
        </w:tc>
        <w:tc>
          <w:tcPr>
            <w:tcW w:w="166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893.28</w:t>
            </w:r>
            <w:r>
              <w:rPr>
                <w:rFonts w:ascii="Times New Roman" w:hAnsi="Times New Roman" w:eastAsia="仿宋_GB2312" w:cs="Times New Roman"/>
                <w:kern w:val="0"/>
                <w:szCs w:val="21"/>
              </w:rPr>
              <w:t>　</w:t>
            </w:r>
          </w:p>
        </w:tc>
        <w:tc>
          <w:tcPr>
            <w:tcW w:w="1572" w:type="dxa"/>
            <w:shd w:val="clear" w:color="auto" w:fill="auto"/>
            <w:vAlign w:val="center"/>
          </w:tcPr>
          <w:p>
            <w:pPr>
              <w:widowControl/>
              <w:jc w:val="left"/>
              <w:rPr>
                <w:rFonts w:hint="eastAsia" w:ascii="Times New Roman" w:hAnsi="Times New Roman" w:eastAsia="仿宋_GB2312" w:cs="Times New Roman"/>
                <w:b/>
                <w:bCs/>
                <w:kern w:val="0"/>
                <w:szCs w:val="21"/>
                <w:lang w:val="en-US" w:eastAsia="zh-CN"/>
              </w:rPr>
            </w:pPr>
            <w:r>
              <w:rPr>
                <w:rFonts w:ascii="Times New Roman" w:hAnsi="Times New Roman" w:eastAsia="仿宋_GB2312" w:cs="Times New Roman"/>
                <w:b/>
                <w:bCs/>
                <w:kern w:val="0"/>
                <w:szCs w:val="21"/>
              </w:rPr>
              <w:t>　</w:t>
            </w:r>
            <w:r>
              <w:rPr>
                <w:rFonts w:hint="eastAsia" w:ascii="Times New Roman" w:hAnsi="Times New Roman" w:eastAsia="仿宋_GB2312" w:cs="Times New Roman"/>
                <w:b/>
                <w:bCs/>
                <w:kern w:val="0"/>
                <w:szCs w:val="21"/>
                <w:lang w:val="en-US" w:eastAsia="zh-CN"/>
              </w:rPr>
              <w:t>0</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蓝山县广播电视台</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10"/>
        <w:tblW w:w="14219" w:type="dxa"/>
        <w:jc w:val="center"/>
        <w:tblInd w:w="0" w:type="dxa"/>
        <w:tblLayout w:type="fixed"/>
        <w:tblCellMar>
          <w:top w:w="0" w:type="dxa"/>
          <w:left w:w="108" w:type="dxa"/>
          <w:bottom w:w="0" w:type="dxa"/>
          <w:right w:w="108" w:type="dxa"/>
        </w:tblCellMar>
      </w:tblPr>
      <w:tblGrid>
        <w:gridCol w:w="1200"/>
        <w:gridCol w:w="3527"/>
        <w:gridCol w:w="3000"/>
        <w:gridCol w:w="3492"/>
        <w:gridCol w:w="3000"/>
      </w:tblGrid>
      <w:tr>
        <w:tblPrEx>
          <w:tblLayout w:type="fixed"/>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Layout w:type="fixed"/>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Layout w:type="fixed"/>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Layout w:type="fixed"/>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893.28</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893.28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　207</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893.28　</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893.28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20708</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广播电视</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893.28　</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893.28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2070805</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电视</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893.28　</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893.28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Layout w:type="fixed"/>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蓝山县广播电视台</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公开06表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10"/>
        <w:tblW w:w="15900" w:type="dxa"/>
        <w:tblInd w:w="93" w:type="dxa"/>
        <w:tblLayout w:type="fixed"/>
        <w:tblCellMar>
          <w:top w:w="0" w:type="dxa"/>
          <w:left w:w="108" w:type="dxa"/>
          <w:bottom w:w="0" w:type="dxa"/>
          <w:right w:w="108" w:type="dxa"/>
        </w:tblCellMar>
      </w:tblPr>
      <w:tblGrid>
        <w:gridCol w:w="1149"/>
        <w:gridCol w:w="3306"/>
        <w:gridCol w:w="856"/>
        <w:gridCol w:w="1110"/>
        <w:gridCol w:w="2297"/>
        <w:gridCol w:w="856"/>
        <w:gridCol w:w="1076"/>
        <w:gridCol w:w="4394"/>
        <w:gridCol w:w="856"/>
      </w:tblGrid>
      <w:tr>
        <w:tblPrEx>
          <w:tblLayout w:type="fixed"/>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3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w:t>
            </w:r>
          </w:p>
        </w:tc>
        <w:tc>
          <w:tcPr>
            <w:tcW w:w="330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856" w:type="dxa"/>
            <w:tcBorders>
              <w:top w:val="nil"/>
              <w:left w:val="nil"/>
              <w:bottom w:val="single" w:color="auto" w:sz="8" w:space="0"/>
              <w:right w:val="single" w:color="auto" w:sz="8" w:space="0"/>
            </w:tcBorders>
            <w:shd w:val="clear" w:color="auto" w:fill="auto"/>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479.22</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w:t>
            </w:r>
          </w:p>
        </w:tc>
        <w:tc>
          <w:tcPr>
            <w:tcW w:w="229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shd w:val="clear" w:color="auto" w:fill="auto"/>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153.96</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w:t>
            </w:r>
          </w:p>
        </w:tc>
        <w:tc>
          <w:tcPr>
            <w:tcW w:w="4394"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30101</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基本工资</w:t>
            </w:r>
          </w:p>
        </w:tc>
        <w:tc>
          <w:tcPr>
            <w:tcW w:w="856" w:type="dxa"/>
            <w:tcBorders>
              <w:top w:val="nil"/>
              <w:left w:val="nil"/>
              <w:bottom w:val="single" w:color="auto" w:sz="8" w:space="0"/>
              <w:right w:val="single" w:color="auto" w:sz="8" w:space="0"/>
            </w:tcBorders>
            <w:shd w:val="clear" w:color="auto" w:fill="auto"/>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56.93</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30201</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5</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30701</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国内债务付息</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30102</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津贴补贴</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1.37</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30202</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印刷费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30702</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国外债务付息</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30103</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奖金</w:t>
            </w:r>
          </w:p>
        </w:tc>
        <w:tc>
          <w:tcPr>
            <w:tcW w:w="856" w:type="dxa"/>
            <w:tcBorders>
              <w:top w:val="nil"/>
              <w:left w:val="nil"/>
              <w:bottom w:val="single" w:color="auto" w:sz="8" w:space="0"/>
              <w:right w:val="single" w:color="auto" w:sz="8" w:space="0"/>
            </w:tcBorders>
            <w:shd w:val="clear" w:color="auto" w:fill="auto"/>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36.35</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30203</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咨询费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w:t>
            </w:r>
          </w:p>
        </w:tc>
        <w:tc>
          <w:tcPr>
            <w:tcW w:w="4394"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shd w:val="clear" w:color="auto" w:fill="auto"/>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249.89</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30106</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伙食补助费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0.5</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30204</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手续费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0.13</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31001</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房屋建筑物购建</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30107</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绩效工资</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114.47</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30205</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水费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0.16</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31002</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办公设备购置</w:t>
            </w:r>
          </w:p>
        </w:tc>
        <w:tc>
          <w:tcPr>
            <w:tcW w:w="856" w:type="dxa"/>
            <w:tcBorders>
              <w:top w:val="nil"/>
              <w:left w:val="nil"/>
              <w:bottom w:val="single" w:color="auto" w:sz="8" w:space="0"/>
              <w:right w:val="single" w:color="auto" w:sz="8" w:space="0"/>
            </w:tcBorders>
            <w:shd w:val="clear" w:color="auto" w:fill="auto"/>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9.76</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30108</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机关事业单位基本养老保险费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78.15</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30206</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电费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7.75</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31003</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专用设备购置</w:t>
            </w:r>
          </w:p>
        </w:tc>
        <w:tc>
          <w:tcPr>
            <w:tcW w:w="856" w:type="dxa"/>
            <w:tcBorders>
              <w:top w:val="nil"/>
              <w:left w:val="nil"/>
              <w:bottom w:val="single" w:color="auto" w:sz="8" w:space="0"/>
              <w:right w:val="single" w:color="auto" w:sz="8" w:space="0"/>
            </w:tcBorders>
            <w:shd w:val="clear" w:color="auto" w:fill="auto"/>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182.47</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30109</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职业年金缴费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11.18</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30207</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邮电费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1.3</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31005</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基础设施建设</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30110</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职工基本医疗保险缴费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33.97</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30208</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取暖费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31006</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大型修缮</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30111</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公务员医疗补助缴费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30209</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物业管理费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0.12</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31007</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信息网络及软件购置更新</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30112</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其他社会保障缴费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4.27</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30211</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差旅费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6.46</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31008</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物资储备</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30113</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住房公积金</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69.68</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30212</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因公出国（境）费用</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31009</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土地补偿</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30114</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30213</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维修（护）费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4.25</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31010</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安置补助</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30199</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其他工资福利支出</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72.34</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30214</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租赁费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9.28</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31011</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地上附着物和青苗补偿</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w:t>
            </w:r>
          </w:p>
        </w:tc>
        <w:tc>
          <w:tcPr>
            <w:tcW w:w="330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10.22</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30215</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会议费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31012</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拆迁补偿</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30301</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离休费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30216</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培训费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0.37</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31013</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公务用车购置</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30302</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退休费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30217</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公务接待费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11.5</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31019</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其他交通工具购置</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30303</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退职（役）费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30218</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专用材料费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8.52</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31021</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文物和陈列品购置</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30304</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抚恤金</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5.11</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30224</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被装购置费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31022</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无形资产购置</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30305</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生活补助</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2.06</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30225</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专用燃料费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31099</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其他资本性支出</w:t>
            </w:r>
          </w:p>
        </w:tc>
        <w:tc>
          <w:tcPr>
            <w:tcW w:w="856" w:type="dxa"/>
            <w:tcBorders>
              <w:top w:val="nil"/>
              <w:left w:val="nil"/>
              <w:bottom w:val="single" w:color="auto" w:sz="8" w:space="0"/>
              <w:right w:val="single" w:color="auto" w:sz="8" w:space="0"/>
            </w:tcBorders>
            <w:shd w:val="clear" w:color="auto" w:fill="auto"/>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57.67</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30306</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救济费</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1.05</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30226</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劳务费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21.9</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w:t>
            </w:r>
          </w:p>
        </w:tc>
        <w:tc>
          <w:tcPr>
            <w:tcW w:w="4394"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30307</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医疗费补助</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30227</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委托业务费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38.02</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39906</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赠与</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30308</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助学金</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30228</w:t>
            </w:r>
          </w:p>
        </w:tc>
        <w:tc>
          <w:tcPr>
            <w:tcW w:w="2297"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工会经费</w:t>
            </w:r>
          </w:p>
        </w:tc>
        <w:tc>
          <w:tcPr>
            <w:tcW w:w="856"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11.14</w:t>
            </w: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39907</w:t>
            </w:r>
          </w:p>
        </w:tc>
        <w:tc>
          <w:tcPr>
            <w:tcW w:w="4394"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国家赔偿费用支出</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奖励金</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1.85</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lang w:val="en-US" w:eastAsia="zh-CN"/>
              </w:rPr>
              <w:t>2.88</w:t>
            </w: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39908</w:t>
            </w:r>
          </w:p>
        </w:tc>
        <w:tc>
          <w:tcPr>
            <w:tcW w:w="4394"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个人农业生产补贴</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w:t>
            </w: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lang w:val="en-US" w:eastAsia="zh-CN"/>
              </w:rPr>
              <w:t>9.47</w:t>
            </w: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39999</w:t>
            </w:r>
          </w:p>
        </w:tc>
        <w:tc>
          <w:tcPr>
            <w:tcW w:w="4394"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856" w:type="dxa"/>
            <w:tcBorders>
              <w:top w:val="nil"/>
              <w:left w:val="nil"/>
              <w:bottom w:val="single" w:color="auto" w:sz="8" w:space="0"/>
              <w:right w:val="single" w:color="auto" w:sz="8" w:space="0"/>
            </w:tcBorders>
            <w:shd w:val="clear" w:color="auto" w:fill="auto"/>
            <w:vAlign w:val="center"/>
          </w:tcPr>
          <w:p>
            <w:pPr>
              <w:widowControl/>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w:t>
            </w:r>
          </w:p>
        </w:tc>
      </w:tr>
      <w:tr>
        <w:tblPrEx>
          <w:tblLayout w:type="fixed"/>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对其他个人和家庭的补助支出</w:t>
            </w:r>
          </w:p>
        </w:tc>
        <w:tc>
          <w:tcPr>
            <w:tcW w:w="856" w:type="dxa"/>
            <w:tcBorders>
              <w:top w:val="single" w:color="auto" w:sz="8" w:space="0"/>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0.16</w:t>
            </w:r>
            <w:r>
              <w:rPr>
                <w:rFonts w:hint="eastAsia" w:ascii="仿宋_GB2312" w:hAnsi="宋体" w:eastAsia="仿宋_GB2312" w:cs="宋体"/>
                <w:color w:val="000000"/>
                <w:kern w:val="0"/>
                <w:sz w:val="18"/>
                <w:szCs w:val="18"/>
              </w:rPr>
              <w:t>　</w:t>
            </w:r>
          </w:p>
        </w:tc>
        <w:tc>
          <w:tcPr>
            <w:tcW w:w="1110" w:type="dxa"/>
            <w:tcBorders>
              <w:top w:val="single" w:color="auto" w:sz="8" w:space="0"/>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lang w:val="en-US" w:eastAsia="zh-CN"/>
              </w:rPr>
              <w:t>4.01</w:t>
            </w:r>
            <w:r>
              <w:rPr>
                <w:rFonts w:ascii="Times New Roman" w:hAnsi="Times New Roman" w:eastAsia="宋体" w:cs="Times New Roman"/>
                <w:color w:val="000000"/>
                <w:kern w:val="0"/>
                <w:sz w:val="18"/>
                <w:szCs w:val="18"/>
              </w:rPr>
              <w:t>　</w:t>
            </w:r>
          </w:p>
        </w:tc>
        <w:tc>
          <w:tcPr>
            <w:tcW w:w="1076" w:type="dxa"/>
            <w:tcBorders>
              <w:top w:val="single" w:color="auto" w:sz="8" w:space="0"/>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single" w:color="auto" w:sz="8" w:space="0"/>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lang w:val="en-US" w:eastAsia="zh-CN"/>
              </w:rPr>
              <w:t>3.04</w:t>
            </w: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tcPr>
          <w:p>
            <w:pPr>
              <w:widowControl/>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lang w:val="en-US" w:eastAsia="zh-CN"/>
              </w:rPr>
              <w:t>8.67</w:t>
            </w: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Layout w:type="fixed"/>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856" w:type="dxa"/>
            <w:tcBorders>
              <w:top w:val="nil"/>
              <w:left w:val="nil"/>
              <w:bottom w:val="single" w:color="auto" w:sz="8" w:space="0"/>
              <w:right w:val="single" w:color="auto" w:sz="8" w:space="0"/>
            </w:tcBorders>
            <w:shd w:val="clear" w:color="auto" w:fill="auto"/>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489.44</w:t>
            </w:r>
          </w:p>
        </w:tc>
        <w:tc>
          <w:tcPr>
            <w:tcW w:w="9733" w:type="dxa"/>
            <w:gridSpan w:val="5"/>
            <w:tcBorders>
              <w:top w:val="nil"/>
              <w:left w:val="nil"/>
              <w:bottom w:val="single" w:color="auto" w:sz="8" w:space="0"/>
              <w:right w:val="single" w:color="auto" w:sz="8" w:space="0"/>
            </w:tcBorders>
            <w:shd w:val="clear" w:color="auto" w:fill="auto"/>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856" w:type="dxa"/>
            <w:tcBorders>
              <w:top w:val="nil"/>
              <w:left w:val="nil"/>
              <w:bottom w:val="single" w:color="auto" w:sz="8" w:space="0"/>
              <w:right w:val="single" w:color="auto" w:sz="8" w:space="0"/>
            </w:tcBorders>
            <w:shd w:val="clear" w:color="auto" w:fill="auto"/>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403.84</w:t>
            </w:r>
          </w:p>
        </w:tc>
      </w:tr>
    </w:tbl>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蓝山县广播电视台</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10"/>
        <w:tblW w:w="14640" w:type="dxa"/>
        <w:jc w:val="center"/>
        <w:tblInd w:w="0" w:type="dxa"/>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Layout w:type="fixed"/>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Layout w:type="fixed"/>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Layout w:type="fixed"/>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Layout w:type="fixed"/>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27.87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9.5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ind w:firstLine="210" w:firstLineChars="1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9.5</w:t>
            </w: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18.37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20.97</w:t>
            </w:r>
          </w:p>
        </w:tc>
        <w:tc>
          <w:tcPr>
            <w:tcW w:w="1220" w:type="dxa"/>
            <w:tcBorders>
              <w:top w:val="nil"/>
              <w:left w:val="nil"/>
              <w:bottom w:val="single" w:color="auto" w:sz="8" w:space="0"/>
              <w:right w:val="single" w:color="auto" w:sz="4" w:space="0"/>
            </w:tcBorders>
            <w:shd w:val="clear" w:color="auto" w:fill="auto"/>
            <w:vAlign w:val="center"/>
          </w:tcPr>
          <w:p>
            <w:pPr>
              <w:widowControl/>
              <w:ind w:firstLine="420" w:firstLineChars="200"/>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ind w:firstLine="210" w:firstLineChars="100"/>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9.47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nil"/>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9.47</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11.5</w:t>
            </w:r>
          </w:p>
        </w:tc>
      </w:tr>
    </w:tbl>
    <w:p>
      <w:pPr>
        <w:autoSpaceDE w:val="0"/>
        <w:autoSpaceDN w:val="0"/>
        <w:adjustRightInd w:val="0"/>
        <w:ind w:left="315" w:leftChars="15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蓝山县广播电视台</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10"/>
        <w:tblW w:w="1444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无</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无</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无</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无</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无</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无</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13"/>
        <w:keepNext w:val="0"/>
        <w:keepLines w:val="0"/>
        <w:pageBreakBefore w:val="0"/>
        <w:kinsoku/>
        <w:wordWrap/>
        <w:overflowPunct/>
        <w:topLinePunct w:val="0"/>
        <w:bidi w:val="0"/>
        <w:snapToGrid/>
        <w:spacing w:beforeAutospacing="0" w:afterAutospacing="0" w:line="560" w:lineRule="atLeas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第三部分2019年度部门决算情况说明</w:t>
      </w:r>
    </w:p>
    <w:p>
      <w:pPr>
        <w:keepNext w:val="0"/>
        <w:keepLines w:val="0"/>
        <w:pageBreakBefore w:val="0"/>
        <w:widowControl/>
        <w:numPr>
          <w:ilvl w:val="0"/>
          <w:numId w:val="3"/>
        </w:numPr>
        <w:kinsoku/>
        <w:wordWrap/>
        <w:overflowPunct/>
        <w:topLinePunct w:val="0"/>
        <w:bidi w:val="0"/>
        <w:snapToGrid/>
        <w:spacing w:beforeAutospacing="0" w:afterAutospacing="0" w:line="560" w:lineRule="atLeast"/>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收入支出决算总体情况说明</w:t>
      </w:r>
    </w:p>
    <w:p>
      <w:pPr>
        <w:pStyle w:val="13"/>
        <w:keepNext w:val="0"/>
        <w:keepLines w:val="0"/>
        <w:pageBreakBefore w:val="0"/>
        <w:kinsoku/>
        <w:wordWrap/>
        <w:overflowPunct/>
        <w:topLinePunct w:val="0"/>
        <w:bidi w:val="0"/>
        <w:snapToGrid/>
        <w:spacing w:beforeAutospacing="0" w:afterAutospacing="0" w:line="560" w:lineRule="atLeas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w:t>
      </w:r>
      <w:r>
        <w:rPr>
          <w:rFonts w:hint="eastAsia" w:ascii="仿宋_GB2312" w:hAnsi="仿宋_GB2312" w:eastAsia="仿宋_GB2312" w:cs="仿宋_GB2312"/>
          <w:sz w:val="32"/>
          <w:szCs w:val="32"/>
          <w:lang w:val="en-US" w:eastAsia="zh-CN"/>
        </w:rPr>
        <w:t>收、支</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均为893.28</w:t>
      </w:r>
      <w:r>
        <w:rPr>
          <w:rFonts w:hint="eastAsia" w:ascii="仿宋_GB2312" w:hAnsi="仿宋_GB2312" w:eastAsia="仿宋_GB2312" w:cs="仿宋_GB2312"/>
          <w:sz w:val="32"/>
          <w:szCs w:val="32"/>
        </w:rPr>
        <w:t>万元。与2018年相比，</w:t>
      </w:r>
      <w:r>
        <w:rPr>
          <w:rFonts w:hint="eastAsia" w:ascii="仿宋_GB2312" w:hAnsi="仿宋_GB2312" w:eastAsia="仿宋_GB2312" w:cs="仿宋_GB2312"/>
          <w:sz w:val="32"/>
          <w:szCs w:val="32"/>
          <w:lang w:val="en-US" w:eastAsia="zh-CN"/>
        </w:rPr>
        <w:t>增加225.53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增加</w:t>
      </w:r>
      <w:r>
        <w:rPr>
          <w:rFonts w:hint="eastAsia" w:ascii="仿宋_GB2312" w:eastAsia="仿宋_GB2312"/>
          <w:sz w:val="32"/>
          <w:lang w:val="en-US" w:eastAsia="zh-CN"/>
        </w:rPr>
        <w:t>33.77%，</w:t>
      </w:r>
      <w:r>
        <w:rPr>
          <w:rFonts w:hint="eastAsia" w:ascii="仿宋_GB2312" w:hAnsi="仿宋_GB2312" w:eastAsia="仿宋_GB2312" w:cs="仿宋_GB2312"/>
          <w:sz w:val="32"/>
          <w:szCs w:val="32"/>
        </w:rPr>
        <w:t>主要是因为</w:t>
      </w:r>
      <w:r>
        <w:rPr>
          <w:rFonts w:hint="eastAsia" w:ascii="仿宋_GB2312" w:eastAsia="仿宋_GB2312"/>
          <w:sz w:val="32"/>
          <w:lang w:val="en-US" w:eastAsia="zh-CN"/>
        </w:rPr>
        <w:t>：一是机构改革，从宣传部调入3人，同时增加外聘临时人员多人；二是向上争取资金300多万元，用于融媒体中心的</w:t>
      </w:r>
      <w:r>
        <w:rPr>
          <w:rFonts w:hint="eastAsia" w:ascii="仿宋_GB2312" w:eastAsia="仿宋_GB2312"/>
          <w:sz w:val="32"/>
        </w:rPr>
        <w:t>软硬</w:t>
      </w:r>
      <w:r>
        <w:rPr>
          <w:rFonts w:hint="eastAsia" w:ascii="仿宋_GB2312" w:eastAsia="仿宋_GB2312"/>
          <w:sz w:val="32"/>
          <w:lang w:val="en-US" w:eastAsia="zh-CN"/>
        </w:rPr>
        <w:t>件</w:t>
      </w:r>
      <w:r>
        <w:rPr>
          <w:rFonts w:hint="eastAsia" w:ascii="仿宋_GB2312" w:eastAsia="仿宋_GB2312"/>
          <w:sz w:val="32"/>
        </w:rPr>
        <w:t>建设</w:t>
      </w:r>
      <w:r>
        <w:rPr>
          <w:rFonts w:hint="eastAsia" w:ascii="仿宋_GB2312" w:eastAsia="仿宋_GB2312"/>
          <w:sz w:val="32"/>
          <w:lang w:val="en-US" w:eastAsia="zh-CN"/>
        </w:rPr>
        <w:t>。</w:t>
      </w:r>
    </w:p>
    <w:p>
      <w:pPr>
        <w:pStyle w:val="13"/>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二、收入决算情况说明</w:t>
      </w:r>
    </w:p>
    <w:p>
      <w:pPr>
        <w:pStyle w:val="13"/>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本年收入合计</w:t>
      </w:r>
      <w:r>
        <w:rPr>
          <w:rFonts w:hint="eastAsia" w:ascii="仿宋_GB2312" w:hAnsi="仿宋_GB2312" w:eastAsia="仿宋_GB2312" w:cs="仿宋_GB2312"/>
          <w:sz w:val="32"/>
          <w:szCs w:val="32"/>
          <w:lang w:val="en-US" w:eastAsia="zh-CN"/>
        </w:rPr>
        <w:t>893.28</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893.28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13"/>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三、支出决算情况说明</w:t>
      </w:r>
    </w:p>
    <w:p>
      <w:pPr>
        <w:pStyle w:val="13"/>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本年支出合计</w:t>
      </w:r>
      <w:r>
        <w:rPr>
          <w:rFonts w:hint="eastAsia" w:ascii="仿宋_GB2312" w:hAnsi="仿宋_GB2312" w:eastAsia="仿宋_GB2312" w:cs="仿宋_GB2312"/>
          <w:sz w:val="32"/>
          <w:szCs w:val="32"/>
          <w:lang w:val="en-US" w:eastAsia="zh-CN"/>
        </w:rPr>
        <w:t>893.28</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893.28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Style w:val="13"/>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四、财政拨款收入支出决算总体情况说明</w:t>
      </w:r>
    </w:p>
    <w:p>
      <w:pPr>
        <w:pStyle w:val="13"/>
        <w:keepNext w:val="0"/>
        <w:keepLines w:val="0"/>
        <w:pageBreakBefore w:val="0"/>
        <w:kinsoku/>
        <w:wordWrap/>
        <w:overflowPunct/>
        <w:topLinePunct w:val="0"/>
        <w:bidi w:val="0"/>
        <w:snapToGrid/>
        <w:spacing w:beforeAutospacing="0" w:afterAutospacing="0" w:line="560" w:lineRule="atLeast"/>
        <w:ind w:firstLine="64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2019年度财政拨款</w:t>
      </w:r>
      <w:r>
        <w:rPr>
          <w:rFonts w:hint="eastAsia" w:ascii="仿宋_GB2312" w:hAnsi="仿宋_GB2312" w:eastAsia="仿宋_GB2312" w:cs="仿宋_GB2312"/>
          <w:sz w:val="32"/>
          <w:szCs w:val="32"/>
          <w:lang w:val="en-US" w:eastAsia="zh-CN"/>
        </w:rPr>
        <w:t>收、支</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均为893.28</w:t>
      </w:r>
      <w:r>
        <w:rPr>
          <w:rFonts w:hint="eastAsia" w:ascii="仿宋_GB2312" w:hAnsi="仿宋_GB2312" w:eastAsia="仿宋_GB2312" w:cs="仿宋_GB2312"/>
          <w:sz w:val="32"/>
          <w:szCs w:val="32"/>
        </w:rPr>
        <w:t>万元，与2018年相比，</w:t>
      </w:r>
      <w:r>
        <w:rPr>
          <w:rFonts w:hint="eastAsia" w:ascii="仿宋_GB2312" w:hAnsi="仿宋_GB2312" w:eastAsia="仿宋_GB2312" w:cs="仿宋_GB2312"/>
          <w:sz w:val="32"/>
          <w:szCs w:val="32"/>
          <w:lang w:val="en-US" w:eastAsia="zh-CN"/>
        </w:rPr>
        <w:t>增加225.53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增加</w:t>
      </w:r>
      <w:r>
        <w:rPr>
          <w:rFonts w:hint="eastAsia" w:ascii="仿宋_GB2312" w:eastAsia="仿宋_GB2312"/>
          <w:sz w:val="32"/>
          <w:lang w:val="en-US" w:eastAsia="zh-CN"/>
        </w:rPr>
        <w:t>33.77%，</w:t>
      </w:r>
      <w:r>
        <w:rPr>
          <w:rFonts w:hint="eastAsia" w:ascii="仿宋_GB2312" w:hAnsi="仿宋_GB2312" w:eastAsia="仿宋_GB2312" w:cs="仿宋_GB2312"/>
          <w:sz w:val="32"/>
          <w:szCs w:val="32"/>
        </w:rPr>
        <w:t>主要是因为</w:t>
      </w:r>
      <w:r>
        <w:rPr>
          <w:rFonts w:hint="eastAsia" w:ascii="仿宋_GB2312" w:eastAsia="仿宋_GB2312"/>
          <w:sz w:val="32"/>
          <w:lang w:val="en-US" w:eastAsia="zh-CN"/>
        </w:rPr>
        <w:t>：一是机构改革，从宣传部调入3人，同时增加外聘临时人员多人；二是向上争取资金300多万元，用于融媒体中心的</w:t>
      </w:r>
      <w:r>
        <w:rPr>
          <w:rFonts w:hint="eastAsia" w:ascii="仿宋_GB2312" w:eastAsia="仿宋_GB2312"/>
          <w:sz w:val="32"/>
        </w:rPr>
        <w:t>软硬</w:t>
      </w:r>
      <w:r>
        <w:rPr>
          <w:rFonts w:hint="eastAsia" w:ascii="仿宋_GB2312" w:eastAsia="仿宋_GB2312"/>
          <w:sz w:val="32"/>
          <w:lang w:val="en-US" w:eastAsia="zh-CN"/>
        </w:rPr>
        <w:t>件</w:t>
      </w:r>
      <w:r>
        <w:rPr>
          <w:rFonts w:hint="eastAsia" w:ascii="仿宋_GB2312" w:eastAsia="仿宋_GB2312"/>
          <w:sz w:val="32"/>
        </w:rPr>
        <w:t>建设</w:t>
      </w:r>
      <w:r>
        <w:rPr>
          <w:rFonts w:hint="eastAsia" w:ascii="仿宋_GB2312" w:eastAsia="仿宋_GB2312"/>
          <w:sz w:val="32"/>
          <w:lang w:val="en-US" w:eastAsia="zh-CN"/>
        </w:rPr>
        <w:t>。</w:t>
      </w:r>
    </w:p>
    <w:p>
      <w:pPr>
        <w:pStyle w:val="13"/>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五、一般公共预算财政拨款支出决算情况说明</w:t>
      </w:r>
    </w:p>
    <w:p>
      <w:pPr>
        <w:pStyle w:val="13"/>
        <w:keepNext w:val="0"/>
        <w:keepLines w:val="0"/>
        <w:pageBreakBefore w:val="0"/>
        <w:widowControl w:val="0"/>
        <w:kinsoku/>
        <w:wordWrap/>
        <w:overflowPunct/>
        <w:topLinePunct w:val="0"/>
        <w:autoSpaceDE w:val="0"/>
        <w:autoSpaceDN w:val="0"/>
        <w:bidi w:val="0"/>
        <w:adjustRightInd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（一）财政拨款支出决算总体情况</w:t>
      </w:r>
    </w:p>
    <w:p>
      <w:pPr>
        <w:pStyle w:val="13"/>
        <w:keepNext w:val="0"/>
        <w:keepLines w:val="0"/>
        <w:pageBreakBefore w:val="0"/>
        <w:widowControl w:val="0"/>
        <w:kinsoku/>
        <w:wordWrap/>
        <w:overflowPunct/>
        <w:topLinePunct w:val="0"/>
        <w:autoSpaceDE w:val="0"/>
        <w:autoSpaceDN w:val="0"/>
        <w:bidi w:val="0"/>
        <w:adjustRightInd w:val="0"/>
        <w:snapToGrid/>
        <w:spacing w:beforeAutospacing="0" w:afterAutospacing="0" w:line="560" w:lineRule="atLeas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2019年度财政拨款支出</w:t>
      </w:r>
      <w:r>
        <w:rPr>
          <w:rFonts w:hint="eastAsia" w:ascii="仿宋_GB2312" w:hAnsi="仿宋_GB2312" w:eastAsia="仿宋_GB2312" w:cs="仿宋_GB2312"/>
          <w:sz w:val="32"/>
          <w:szCs w:val="32"/>
          <w:lang w:val="en-US" w:eastAsia="zh-CN"/>
        </w:rPr>
        <w:t>893.28</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%，与2018年相比，财政拨款支出增加</w:t>
      </w:r>
      <w:r>
        <w:rPr>
          <w:rFonts w:hint="eastAsia" w:ascii="仿宋_GB2312" w:hAnsi="仿宋_GB2312" w:eastAsia="仿宋_GB2312" w:cs="仿宋_GB2312"/>
          <w:sz w:val="32"/>
          <w:szCs w:val="32"/>
          <w:lang w:val="en-US" w:eastAsia="zh-CN"/>
        </w:rPr>
        <w:t>225.53</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33.77</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2019年我单位以</w:t>
      </w:r>
      <w:r>
        <w:rPr>
          <w:rFonts w:hint="eastAsia" w:ascii="仿宋_GB2312" w:hAnsi="仿宋_GB2312" w:eastAsia="仿宋_GB2312" w:cs="仿宋_GB2312"/>
          <w:sz w:val="32"/>
          <w:szCs w:val="32"/>
        </w:rPr>
        <w:t>机构改革为契机，</w:t>
      </w:r>
      <w:r>
        <w:rPr>
          <w:rFonts w:hint="eastAsia" w:ascii="仿宋_GB2312" w:hAnsi="仿宋_GB2312" w:eastAsia="仿宋_GB2312" w:cs="仿宋_GB2312"/>
          <w:sz w:val="32"/>
          <w:szCs w:val="32"/>
          <w:lang w:val="en-US" w:eastAsia="zh-CN"/>
        </w:rPr>
        <w:t>向上争取资金300多万元，</w:t>
      </w:r>
      <w:r>
        <w:rPr>
          <w:rFonts w:hint="eastAsia" w:ascii="仿宋_GB2312" w:hAnsi="仿宋_GB2312" w:eastAsia="仿宋_GB2312" w:cs="仿宋_GB2312"/>
          <w:sz w:val="32"/>
          <w:szCs w:val="32"/>
        </w:rPr>
        <w:t>迅速将蓝山电视台、蓝山新闻网、蓝山手机报、新蓝山APP、中国微蓝山微信公众号、蓝山新闻政务微博等平台进行融合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努力加快我县融媒体中心的建设。</w:t>
      </w:r>
    </w:p>
    <w:p>
      <w:pPr>
        <w:pStyle w:val="13"/>
        <w:keepNext w:val="0"/>
        <w:keepLines w:val="0"/>
        <w:pageBreakBefore w:val="0"/>
        <w:widowControl w:val="0"/>
        <w:kinsoku/>
        <w:wordWrap/>
        <w:overflowPunct/>
        <w:topLinePunct w:val="0"/>
        <w:autoSpaceDE w:val="0"/>
        <w:autoSpaceDN w:val="0"/>
        <w:bidi w:val="0"/>
        <w:adjustRightInd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（二）财政拨款支出决算结构情况</w:t>
      </w:r>
    </w:p>
    <w:p>
      <w:pPr>
        <w:pStyle w:val="13"/>
        <w:keepNext w:val="0"/>
        <w:keepLines w:val="0"/>
        <w:pageBreakBefore w:val="0"/>
        <w:widowControl w:val="0"/>
        <w:kinsoku/>
        <w:wordWrap/>
        <w:overflowPunct/>
        <w:topLinePunct w:val="0"/>
        <w:autoSpaceDE w:val="0"/>
        <w:autoSpaceDN w:val="0"/>
        <w:bidi w:val="0"/>
        <w:adjustRightInd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2019年度财政拨款支出</w:t>
      </w:r>
      <w:r>
        <w:rPr>
          <w:rFonts w:hint="eastAsia" w:ascii="仿宋_GB2312" w:hAnsi="仿宋_GB2312" w:eastAsia="仿宋_GB2312" w:cs="仿宋_GB2312"/>
          <w:sz w:val="32"/>
          <w:szCs w:val="32"/>
          <w:lang w:val="en-US" w:eastAsia="zh-CN"/>
        </w:rPr>
        <w:t>893.28</w:t>
      </w:r>
      <w:r>
        <w:rPr>
          <w:rFonts w:hint="eastAsia" w:ascii="仿宋_GB2312" w:hAnsi="仿宋_GB2312" w:eastAsia="仿宋_GB2312" w:cs="仿宋_GB2312"/>
          <w:sz w:val="32"/>
          <w:szCs w:val="32"/>
        </w:rPr>
        <w:t>万元，主要用于文化旅游体育与传媒支出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13"/>
        <w:keepNext w:val="0"/>
        <w:keepLines w:val="0"/>
        <w:pageBreakBefore w:val="0"/>
        <w:kinsoku/>
        <w:wordWrap/>
        <w:overflowPunct/>
        <w:topLinePunct w:val="0"/>
        <w:bidi w:val="0"/>
        <w:snapToGrid/>
        <w:spacing w:beforeAutospacing="0" w:afterAutospacing="0" w:line="560" w:lineRule="atLeast"/>
        <w:ind w:firstLine="800" w:firstLineChars="25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（三）财政拨款支出决算具体情况</w:t>
      </w:r>
    </w:p>
    <w:p>
      <w:pPr>
        <w:pStyle w:val="13"/>
        <w:keepNext w:val="0"/>
        <w:keepLines w:val="0"/>
        <w:pageBreakBefore w:val="0"/>
        <w:kinsoku/>
        <w:wordWrap/>
        <w:overflowPunct/>
        <w:topLinePunct w:val="0"/>
        <w:bidi w:val="0"/>
        <w:snapToGrid/>
        <w:spacing w:beforeAutospacing="0" w:afterAutospacing="0" w:line="560" w:lineRule="atLeas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2019年度财政拨款支出年初预算数为</w:t>
      </w:r>
      <w:r>
        <w:rPr>
          <w:rFonts w:hint="eastAsia" w:ascii="仿宋_GB2312" w:hAnsi="仿宋_GB2312" w:eastAsia="仿宋_GB2312" w:cs="仿宋_GB2312"/>
          <w:sz w:val="32"/>
          <w:szCs w:val="32"/>
          <w:lang w:val="en-US" w:eastAsia="zh-CN"/>
        </w:rPr>
        <w:t>893.28</w:t>
      </w:r>
      <w:r>
        <w:rPr>
          <w:rFonts w:hint="eastAsia" w:ascii="仿宋_GB2312" w:hAnsi="仿宋_GB2312" w:eastAsia="仿宋_GB2312" w:cs="仿宋_GB2312"/>
          <w:sz w:val="32"/>
          <w:szCs w:val="32"/>
        </w:rPr>
        <w:t>万元，支出决算数为</w:t>
      </w:r>
      <w:r>
        <w:rPr>
          <w:rFonts w:hint="eastAsia" w:ascii="仿宋_GB2312" w:hAnsi="仿宋_GB2312" w:eastAsia="仿宋_GB2312" w:cs="仿宋_GB2312"/>
          <w:sz w:val="32"/>
          <w:szCs w:val="32"/>
          <w:lang w:val="en-US" w:eastAsia="zh-CN"/>
        </w:rPr>
        <w:t>893.28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w:t>
      </w:r>
    </w:p>
    <w:p>
      <w:pPr>
        <w:pStyle w:val="13"/>
        <w:keepNext w:val="0"/>
        <w:keepLines w:val="0"/>
        <w:pageBreakBefore w:val="0"/>
        <w:kinsoku/>
        <w:wordWrap/>
        <w:overflowPunct/>
        <w:topLinePunct w:val="0"/>
        <w:bidi w:val="0"/>
        <w:snapToGrid/>
        <w:spacing w:beforeAutospacing="0" w:afterAutospacing="0" w:line="560" w:lineRule="atLeas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文化旅游体育与传媒支出（类）</w:t>
      </w:r>
      <w:r>
        <w:rPr>
          <w:rFonts w:hint="eastAsia" w:ascii="仿宋_GB2312" w:hAnsi="仿宋_GB2312" w:eastAsia="仿宋_GB2312" w:cs="仿宋_GB2312"/>
          <w:sz w:val="32"/>
          <w:szCs w:val="32"/>
          <w:lang w:val="en-US" w:eastAsia="zh-CN"/>
        </w:rPr>
        <w:t>广播电视</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电视</w:t>
      </w:r>
      <w:r>
        <w:rPr>
          <w:rFonts w:hint="eastAsia" w:ascii="仿宋_GB2312" w:hAnsi="仿宋_GB2312" w:eastAsia="仿宋_GB2312" w:cs="仿宋_GB2312"/>
          <w:sz w:val="32"/>
          <w:szCs w:val="32"/>
        </w:rPr>
        <w:t>（项）。</w:t>
      </w:r>
    </w:p>
    <w:p>
      <w:pPr>
        <w:pStyle w:val="13"/>
        <w:keepNext w:val="0"/>
        <w:keepLines w:val="0"/>
        <w:pageBreakBefore w:val="0"/>
        <w:kinsoku/>
        <w:wordWrap/>
        <w:overflowPunct/>
        <w:topLinePunct w:val="0"/>
        <w:bidi w:val="0"/>
        <w:snapToGrid/>
        <w:spacing w:beforeAutospacing="0" w:afterAutospacing="0" w:line="560" w:lineRule="atLeast"/>
        <w:ind w:firstLine="800" w:firstLineChars="25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年初预算</w:t>
      </w:r>
      <w:r>
        <w:rPr>
          <w:rFonts w:hint="eastAsia" w:ascii="仿宋_GB2312" w:hAnsi="仿宋_GB2312" w:eastAsia="仿宋_GB2312" w:cs="仿宋_GB2312"/>
          <w:sz w:val="32"/>
          <w:szCs w:val="32"/>
          <w:lang w:val="en-US" w:eastAsia="zh-CN"/>
        </w:rPr>
        <w:t>893.28</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893.28</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年初预算数</w:t>
      </w:r>
      <w:r>
        <w:rPr>
          <w:rFonts w:hint="eastAsia" w:ascii="仿宋_GB2312" w:hAnsi="仿宋_GB2312" w:eastAsia="仿宋_GB2312" w:cs="仿宋_GB2312"/>
          <w:sz w:val="32"/>
          <w:szCs w:val="32"/>
          <w:lang w:val="en-US" w:eastAsia="zh-CN"/>
        </w:rPr>
        <w:t>无差异</w:t>
      </w:r>
      <w:r>
        <w:rPr>
          <w:rFonts w:hint="eastAsia" w:ascii="仿宋_GB2312" w:hAnsi="仿宋_GB2312" w:eastAsia="仿宋_GB2312" w:cs="仿宋_GB2312"/>
          <w:sz w:val="32"/>
          <w:szCs w:val="32"/>
          <w:lang w:eastAsia="zh-CN"/>
        </w:rPr>
        <w:t>。</w:t>
      </w:r>
    </w:p>
    <w:p>
      <w:pPr>
        <w:pStyle w:val="13"/>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六、一般公共预算财政拨款基本支出决算情况说明</w:t>
      </w:r>
    </w:p>
    <w:p>
      <w:pPr>
        <w:pStyle w:val="13"/>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2019年度财政拨款基本支出</w:t>
      </w:r>
      <w:r>
        <w:rPr>
          <w:rFonts w:hint="eastAsia" w:ascii="仿宋_GB2312" w:hAnsi="仿宋_GB2312" w:eastAsia="仿宋_GB2312" w:cs="仿宋_GB2312"/>
          <w:sz w:val="32"/>
          <w:szCs w:val="32"/>
          <w:lang w:val="en-US" w:eastAsia="zh-CN"/>
        </w:rPr>
        <w:t>893.28万</w:t>
      </w:r>
      <w:r>
        <w:rPr>
          <w:rFonts w:hint="eastAsia" w:ascii="仿宋_GB2312" w:hAnsi="仿宋_GB2312" w:eastAsia="仿宋_GB2312" w:cs="仿宋_GB2312"/>
          <w:sz w:val="32"/>
          <w:szCs w:val="32"/>
        </w:rPr>
        <w:t>元，其中：人员经费</w:t>
      </w:r>
      <w:r>
        <w:rPr>
          <w:rFonts w:hint="eastAsia" w:ascii="仿宋_GB2312" w:eastAsia="仿宋_GB2312"/>
          <w:sz w:val="32"/>
          <w:lang w:val="en-US" w:eastAsia="zh-CN"/>
        </w:rPr>
        <w:t>489.44</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54.79</w:t>
      </w:r>
      <w:r>
        <w:rPr>
          <w:rFonts w:hint="eastAsia" w:ascii="仿宋_GB2312" w:hAnsi="仿宋_GB2312" w:eastAsia="仿宋_GB2312" w:cs="仿宋_GB2312"/>
          <w:sz w:val="32"/>
          <w:szCs w:val="32"/>
        </w:rPr>
        <w:t>%,主要包括基本工资、</w:t>
      </w:r>
      <w:r>
        <w:rPr>
          <w:rFonts w:hint="eastAsia" w:ascii="仿宋_GB2312" w:hAnsi="仿宋_GB2312" w:eastAsia="仿宋_GB2312" w:cs="仿宋_GB2312"/>
          <w:sz w:val="32"/>
          <w:szCs w:val="32"/>
          <w:lang w:val="en-US" w:eastAsia="zh-CN"/>
        </w:rPr>
        <w:t>绩效工资、</w:t>
      </w:r>
      <w:r>
        <w:rPr>
          <w:rFonts w:hint="eastAsia" w:ascii="仿宋_GB2312" w:hAnsi="仿宋_GB2312" w:eastAsia="仿宋_GB2312" w:cs="仿宋_GB2312"/>
          <w:sz w:val="32"/>
          <w:szCs w:val="32"/>
        </w:rPr>
        <w:t>津贴补贴、奖金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临聘人员工资、对个人和家庭的补助</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403.84</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45.21</w:t>
      </w:r>
      <w:r>
        <w:rPr>
          <w:rFonts w:hint="eastAsia" w:ascii="仿宋_GB2312" w:hAnsi="仿宋_GB2312" w:eastAsia="仿宋_GB2312" w:cs="仿宋_GB2312"/>
          <w:sz w:val="32"/>
          <w:szCs w:val="32"/>
        </w:rPr>
        <w:t>%，包括单位办公费、水电费、邮电费、</w:t>
      </w:r>
      <w:r>
        <w:rPr>
          <w:rFonts w:hint="eastAsia" w:ascii="仿宋_GB2312" w:hAnsi="仿宋_GB2312" w:eastAsia="仿宋_GB2312" w:cs="仿宋_GB2312"/>
          <w:sz w:val="32"/>
          <w:szCs w:val="32"/>
          <w:lang w:val="en-US" w:eastAsia="zh-CN"/>
        </w:rPr>
        <w:t>劳务费</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val="en-US" w:eastAsia="zh-CN"/>
        </w:rPr>
        <w:t>租赁费</w:t>
      </w:r>
      <w:r>
        <w:rPr>
          <w:rFonts w:hint="eastAsia" w:ascii="仿宋_GB2312" w:hAnsi="仿宋_GB2312" w:eastAsia="仿宋_GB2312" w:cs="仿宋_GB2312"/>
          <w:sz w:val="32"/>
          <w:szCs w:val="32"/>
        </w:rPr>
        <w:t>、物业管理费、维修费、专用材料费、</w:t>
      </w:r>
      <w:r>
        <w:rPr>
          <w:rFonts w:hint="eastAsia" w:ascii="仿宋_GB2312" w:hAnsi="仿宋_GB2312" w:eastAsia="仿宋_GB2312" w:cs="仿宋_GB2312"/>
          <w:sz w:val="32"/>
          <w:szCs w:val="32"/>
          <w:lang w:val="en-US" w:eastAsia="zh-CN"/>
        </w:rPr>
        <w:t>资本性支出</w:t>
      </w:r>
      <w:r>
        <w:rPr>
          <w:rFonts w:hint="eastAsia" w:ascii="仿宋_GB2312" w:hAnsi="仿宋_GB2312" w:eastAsia="仿宋_GB2312" w:cs="仿宋_GB2312"/>
          <w:sz w:val="32"/>
          <w:szCs w:val="32"/>
        </w:rPr>
        <w:t>。</w:t>
      </w:r>
    </w:p>
    <w:p>
      <w:pPr>
        <w:pStyle w:val="13"/>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七、一般公共预算财政拨款三公经费支出决算情况说明</w:t>
      </w:r>
    </w:p>
    <w:p>
      <w:pPr>
        <w:pStyle w:val="13"/>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（一）“三公”经费财政拨款支出决算总体情况说明</w:t>
      </w:r>
    </w:p>
    <w:p>
      <w:pPr>
        <w:pStyle w:val="13"/>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“三公”经费财政拨款支出预算为</w:t>
      </w:r>
      <w:r>
        <w:rPr>
          <w:rFonts w:hint="eastAsia" w:ascii="仿宋_GB2312" w:hAnsi="仿宋_GB2312" w:eastAsia="仿宋_GB2312" w:cs="仿宋_GB2312"/>
          <w:sz w:val="32"/>
          <w:szCs w:val="32"/>
          <w:lang w:val="en-US" w:eastAsia="zh-CN"/>
        </w:rPr>
        <w:t>27.87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20.97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75.24</w:t>
      </w:r>
      <w:r>
        <w:rPr>
          <w:rFonts w:hint="eastAsia" w:ascii="仿宋_GB2312" w:hAnsi="仿宋_GB2312" w:eastAsia="仿宋_GB2312" w:cs="仿宋_GB2312"/>
          <w:sz w:val="32"/>
          <w:szCs w:val="32"/>
        </w:rPr>
        <w:t>%，其中：</w:t>
      </w:r>
    </w:p>
    <w:p>
      <w:pPr>
        <w:pStyle w:val="13"/>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13"/>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eastAsia="仿宋_GB2312"/>
          <w:sz w:val="32"/>
          <w:lang w:val="en-US" w:eastAsia="zh-CN"/>
        </w:rPr>
      </w:pPr>
      <w:r>
        <w:rPr>
          <w:rFonts w:hint="eastAsia" w:ascii="仿宋_GB2312" w:hAnsi="仿宋_GB2312" w:eastAsia="仿宋_GB2312" w:cs="仿宋_GB2312"/>
          <w:sz w:val="32"/>
          <w:szCs w:val="32"/>
        </w:rPr>
        <w:t>公务接待费支出预算为</w:t>
      </w:r>
      <w:r>
        <w:rPr>
          <w:rFonts w:hint="eastAsia" w:ascii="仿宋_GB2312" w:hAnsi="仿宋_GB2312" w:eastAsia="仿宋_GB2312" w:cs="仿宋_GB2312"/>
          <w:sz w:val="32"/>
          <w:szCs w:val="32"/>
          <w:lang w:val="en-US" w:eastAsia="zh-CN"/>
        </w:rPr>
        <w:t>18.37</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62.6</w:t>
      </w:r>
      <w:r>
        <w:rPr>
          <w:rFonts w:hint="eastAsia" w:ascii="仿宋_GB2312" w:hAnsi="仿宋_GB2312" w:eastAsia="仿宋_GB2312" w:cs="仿宋_GB2312"/>
          <w:sz w:val="32"/>
          <w:szCs w:val="32"/>
        </w:rPr>
        <w:t>%，决算数小于年初预算数的主要原因是</w:t>
      </w:r>
      <w:r>
        <w:rPr>
          <w:rFonts w:hint="eastAsia" w:ascii="仿宋_GB2312" w:hAnsi="仿宋_GB2312" w:eastAsia="仿宋_GB2312" w:cs="仿宋_GB2312"/>
          <w:sz w:val="32"/>
          <w:szCs w:val="32"/>
          <w:lang w:val="en-US" w:eastAsia="zh-CN"/>
        </w:rPr>
        <w:t>严格按照公务接待标准执行，厉行节约；</w:t>
      </w:r>
      <w:r>
        <w:rPr>
          <w:rFonts w:hint="eastAsia" w:ascii="仿宋_GB2312" w:hAnsi="仿宋_GB2312" w:eastAsia="仿宋_GB2312" w:cs="仿宋_GB2312"/>
          <w:sz w:val="32"/>
          <w:szCs w:val="32"/>
        </w:rPr>
        <w:t>与上年相比增加</w:t>
      </w:r>
      <w:r>
        <w:rPr>
          <w:rFonts w:hint="eastAsia" w:ascii="仿宋_GB2312" w:hAnsi="仿宋_GB2312" w:eastAsia="仿宋_GB2312" w:cs="仿宋_GB2312"/>
          <w:sz w:val="32"/>
          <w:szCs w:val="32"/>
          <w:lang w:val="en-US" w:eastAsia="zh-CN"/>
        </w:rPr>
        <w:t>7.3</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173.85</w:t>
      </w:r>
      <w:r>
        <w:rPr>
          <w:rFonts w:hint="eastAsia" w:ascii="仿宋_GB2312" w:hAnsi="仿宋_GB2312" w:eastAsia="仿宋_GB2312" w:cs="仿宋_GB2312"/>
          <w:sz w:val="32"/>
          <w:szCs w:val="32"/>
        </w:rPr>
        <w:t>%,增长的主要原因是</w:t>
      </w:r>
      <w:r>
        <w:rPr>
          <w:rFonts w:hint="eastAsia" w:ascii="仿宋_GB2312" w:eastAsia="仿宋_GB2312"/>
          <w:sz w:val="32"/>
          <w:lang w:val="en-US" w:eastAsia="zh-CN"/>
        </w:rPr>
        <w:t>为了更好地做好外宣工作，加强与兄弟电视台的学习交流。</w:t>
      </w:r>
    </w:p>
    <w:p>
      <w:pPr>
        <w:pStyle w:val="13"/>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公务用车购置费及运行维护费支出预算为</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9.47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99.68</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年初预算数</w:t>
      </w:r>
      <w:r>
        <w:rPr>
          <w:rFonts w:hint="eastAsia" w:ascii="仿宋_GB2312" w:hAnsi="仿宋_GB2312" w:eastAsia="仿宋_GB2312" w:cs="仿宋_GB2312"/>
          <w:sz w:val="32"/>
          <w:szCs w:val="32"/>
          <w:lang w:val="en-US" w:eastAsia="zh-CN"/>
        </w:rPr>
        <w:t>基本持平</w:t>
      </w:r>
      <w:r>
        <w:rPr>
          <w:rFonts w:hint="eastAsia" w:ascii="仿宋_GB2312" w:hAnsi="仿宋_GB2312" w:eastAsia="仿宋_GB2312" w:cs="仿宋_GB2312"/>
          <w:sz w:val="32"/>
          <w:szCs w:val="32"/>
        </w:rPr>
        <w:t>，与上年相比增加</w:t>
      </w:r>
      <w:r>
        <w:rPr>
          <w:rFonts w:hint="eastAsia" w:ascii="仿宋_GB2312" w:hAnsi="仿宋_GB2312" w:eastAsia="仿宋_GB2312" w:cs="仿宋_GB2312"/>
          <w:sz w:val="32"/>
          <w:szCs w:val="32"/>
          <w:lang w:val="en-US" w:eastAsia="zh-CN"/>
        </w:rPr>
        <w:t>4.47</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89.36</w:t>
      </w:r>
      <w:r>
        <w:rPr>
          <w:rFonts w:hint="eastAsia" w:ascii="仿宋_GB2312" w:hAnsi="仿宋_GB2312" w:eastAsia="仿宋_GB2312" w:cs="仿宋_GB2312"/>
          <w:sz w:val="32"/>
          <w:szCs w:val="32"/>
        </w:rPr>
        <w:t>%,增长的主要原因是下乡扶贫力度加大。</w:t>
      </w:r>
    </w:p>
    <w:p>
      <w:pPr>
        <w:pStyle w:val="13"/>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（二）“三公”经费财政拨款支出决算具体情况说明</w:t>
      </w:r>
    </w:p>
    <w:p>
      <w:pPr>
        <w:pStyle w:val="13"/>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2019年度“三公”经费财政拨款支出决算中，公务接待费支出决算</w:t>
      </w:r>
      <w:r>
        <w:rPr>
          <w:rFonts w:hint="eastAsia" w:ascii="仿宋_GB2312" w:hAnsi="仿宋_GB2312" w:eastAsia="仿宋_GB2312" w:cs="仿宋_GB2312"/>
          <w:sz w:val="32"/>
          <w:szCs w:val="32"/>
          <w:lang w:val="en-US" w:eastAsia="zh-CN"/>
        </w:rPr>
        <w:t>11.5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公务用车购置费及运行维护费支出决算</w:t>
      </w:r>
      <w:r>
        <w:rPr>
          <w:rFonts w:hint="eastAsia" w:ascii="仿宋_GB2312" w:hAnsi="仿宋_GB2312" w:eastAsia="仿宋_GB2312" w:cs="仿宋_GB2312"/>
          <w:sz w:val="32"/>
          <w:szCs w:val="32"/>
          <w:lang w:val="en-US" w:eastAsia="zh-CN"/>
        </w:rPr>
        <w:t>9.47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w:t>
      </w:r>
    </w:p>
    <w:p>
      <w:pPr>
        <w:pStyle w:val="13"/>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 w:cs="仿宋_GB2312"/>
          <w:sz w:val="32"/>
          <w:szCs w:val="32"/>
          <w:lang w:val="en-US" w:eastAsia="zh-CN"/>
        </w:rPr>
      </w:pPr>
      <w:r>
        <w:rPr>
          <w:rFonts w:hint="eastAsia" w:ascii="仿宋" w:hAnsi="仿宋" w:eastAsia="仿宋" w:cs="仿宋"/>
          <w:b w:val="0"/>
          <w:i w:val="0"/>
          <w:caps w:val="0"/>
          <w:color w:val="auto"/>
          <w:spacing w:val="0"/>
          <w:sz w:val="32"/>
          <w:szCs w:val="32"/>
          <w:shd w:val="clear" w:color="auto" w:fill="FFFFFF"/>
          <w:lang w:val="en-US" w:eastAsia="zh-CN" w:bidi="ar"/>
        </w:rPr>
        <w:t>1、</w:t>
      </w:r>
      <w:r>
        <w:rPr>
          <w:rFonts w:hint="eastAsia" w:ascii="仿宋" w:hAnsi="仿宋" w:eastAsia="仿宋" w:cs="仿宋"/>
          <w:b w:val="0"/>
          <w:i w:val="0"/>
          <w:caps w:val="0"/>
          <w:color w:val="auto"/>
          <w:spacing w:val="0"/>
          <w:sz w:val="32"/>
          <w:szCs w:val="32"/>
          <w:shd w:val="clear" w:color="auto" w:fill="FFFFFF"/>
          <w:lang w:bidi="ar"/>
        </w:rPr>
        <w:t>因公出国（境）费支出决算为</w:t>
      </w:r>
      <w:r>
        <w:rPr>
          <w:rFonts w:hint="eastAsia" w:ascii="仿宋" w:hAnsi="仿宋" w:eastAsia="仿宋" w:cs="仿宋"/>
          <w:b w:val="0"/>
          <w:i w:val="0"/>
          <w:caps w:val="0"/>
          <w:color w:val="auto"/>
          <w:spacing w:val="0"/>
          <w:sz w:val="32"/>
          <w:szCs w:val="32"/>
          <w:shd w:val="clear" w:color="auto" w:fill="FFFFFF"/>
          <w:lang w:val="en-US" w:eastAsia="zh-CN" w:bidi="ar"/>
        </w:rPr>
        <w:t>0</w:t>
      </w:r>
      <w:r>
        <w:rPr>
          <w:rFonts w:hint="eastAsia" w:ascii="仿宋" w:hAnsi="仿宋" w:eastAsia="仿宋" w:cs="仿宋"/>
          <w:b w:val="0"/>
          <w:i w:val="0"/>
          <w:caps w:val="0"/>
          <w:color w:val="auto"/>
          <w:spacing w:val="0"/>
          <w:sz w:val="32"/>
          <w:szCs w:val="32"/>
          <w:shd w:val="clear" w:color="auto" w:fill="FFFFFF"/>
          <w:lang w:bidi="ar"/>
        </w:rPr>
        <w:t>元（因公出国组团 </w:t>
      </w:r>
      <w:r>
        <w:rPr>
          <w:rFonts w:hint="eastAsia" w:ascii="仿宋" w:hAnsi="仿宋" w:eastAsia="仿宋" w:cs="仿宋"/>
          <w:b w:val="0"/>
          <w:i w:val="0"/>
          <w:caps w:val="0"/>
          <w:color w:val="auto"/>
          <w:spacing w:val="0"/>
          <w:sz w:val="32"/>
          <w:szCs w:val="32"/>
          <w:shd w:val="clear" w:color="auto" w:fill="FFFFFF"/>
          <w:lang w:val="en-US" w:eastAsia="zh-CN" w:bidi="ar"/>
        </w:rPr>
        <w:t>0</w:t>
      </w:r>
      <w:r>
        <w:rPr>
          <w:rFonts w:hint="eastAsia" w:ascii="仿宋" w:hAnsi="仿宋" w:eastAsia="仿宋" w:cs="仿宋"/>
          <w:b w:val="0"/>
          <w:i w:val="0"/>
          <w:caps w:val="0"/>
          <w:color w:val="auto"/>
          <w:spacing w:val="0"/>
          <w:sz w:val="32"/>
          <w:szCs w:val="32"/>
          <w:shd w:val="clear" w:color="auto" w:fill="FFFFFF"/>
          <w:lang w:bidi="ar"/>
        </w:rPr>
        <w:t>次，因公出国</w:t>
      </w:r>
      <w:r>
        <w:rPr>
          <w:rFonts w:hint="eastAsia" w:ascii="仿宋" w:hAnsi="仿宋" w:eastAsia="仿宋" w:cs="仿宋"/>
          <w:b w:val="0"/>
          <w:i w:val="0"/>
          <w:caps w:val="0"/>
          <w:color w:val="auto"/>
          <w:spacing w:val="0"/>
          <w:sz w:val="32"/>
          <w:szCs w:val="32"/>
          <w:shd w:val="clear" w:color="auto" w:fill="FFFFFF"/>
          <w:lang w:val="en-US" w:eastAsia="zh-CN" w:bidi="ar"/>
        </w:rPr>
        <w:t>0</w:t>
      </w:r>
      <w:r>
        <w:rPr>
          <w:rFonts w:hint="eastAsia" w:ascii="仿宋" w:hAnsi="仿宋" w:eastAsia="仿宋" w:cs="仿宋"/>
          <w:b w:val="0"/>
          <w:i w:val="0"/>
          <w:caps w:val="0"/>
          <w:color w:val="auto"/>
          <w:spacing w:val="0"/>
          <w:sz w:val="32"/>
          <w:szCs w:val="32"/>
          <w:shd w:val="clear" w:color="auto" w:fill="FFFFFF"/>
          <w:lang w:bidi="ar"/>
        </w:rPr>
        <w:t> 人次），完成预算的 </w:t>
      </w:r>
      <w:r>
        <w:rPr>
          <w:rFonts w:hint="eastAsia" w:ascii="仿宋" w:hAnsi="仿宋" w:eastAsia="仿宋" w:cs="仿宋"/>
          <w:b w:val="0"/>
          <w:i w:val="0"/>
          <w:caps w:val="0"/>
          <w:color w:val="auto"/>
          <w:spacing w:val="0"/>
          <w:sz w:val="32"/>
          <w:szCs w:val="32"/>
          <w:shd w:val="clear" w:color="auto" w:fill="FFFFFF"/>
          <w:lang w:val="en-US" w:eastAsia="zh-CN" w:bidi="ar"/>
        </w:rPr>
        <w:t>0</w:t>
      </w:r>
      <w:r>
        <w:rPr>
          <w:rFonts w:hint="eastAsia" w:ascii="仿宋" w:hAnsi="仿宋" w:eastAsia="仿宋" w:cs="仿宋"/>
          <w:b w:val="0"/>
          <w:i w:val="0"/>
          <w:caps w:val="0"/>
          <w:color w:val="auto"/>
          <w:spacing w:val="0"/>
          <w:sz w:val="32"/>
          <w:szCs w:val="32"/>
          <w:shd w:val="clear" w:color="auto" w:fill="FFFFFF"/>
          <w:lang w:bidi="ar"/>
        </w:rPr>
        <w:t> %</w:t>
      </w:r>
      <w:r>
        <w:rPr>
          <w:rFonts w:hint="eastAsia" w:ascii="仿宋" w:hAnsi="仿宋" w:eastAsia="仿宋" w:cs="仿宋"/>
          <w:b w:val="0"/>
          <w:i w:val="0"/>
          <w:caps w:val="0"/>
          <w:color w:val="auto"/>
          <w:spacing w:val="0"/>
          <w:sz w:val="32"/>
          <w:szCs w:val="32"/>
          <w:shd w:val="clear" w:color="auto" w:fill="FFFFFF"/>
          <w:lang w:eastAsia="zh-CN" w:bidi="ar"/>
        </w:rPr>
        <w:t>。</w:t>
      </w:r>
    </w:p>
    <w:p>
      <w:pPr>
        <w:pStyle w:val="13"/>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、公务接待费支出决算为</w:t>
      </w:r>
      <w:r>
        <w:rPr>
          <w:rFonts w:hint="eastAsia" w:ascii="仿宋_GB2312" w:hAnsi="仿宋_GB2312" w:eastAsia="仿宋_GB2312" w:cs="仿宋_GB2312"/>
          <w:sz w:val="32"/>
          <w:szCs w:val="32"/>
          <w:lang w:val="en-US" w:eastAsia="zh-CN"/>
        </w:rPr>
        <w:t>11.5</w:t>
      </w:r>
      <w:r>
        <w:rPr>
          <w:rFonts w:hint="eastAsia" w:ascii="仿宋_GB2312" w:hAnsi="仿宋_GB2312" w:eastAsia="仿宋_GB2312" w:cs="仿宋_GB2312"/>
          <w:sz w:val="32"/>
          <w:szCs w:val="32"/>
        </w:rPr>
        <w:t>万元，全年共接待来访</w:t>
      </w:r>
      <w:r>
        <w:rPr>
          <w:rFonts w:hint="eastAsia" w:ascii="仿宋" w:hAnsi="仿宋" w:eastAsia="仿宋" w:cs="仿宋"/>
          <w:b w:val="0"/>
          <w:i w:val="0"/>
          <w:caps w:val="0"/>
          <w:color w:val="auto"/>
          <w:spacing w:val="0"/>
          <w:sz w:val="32"/>
          <w:szCs w:val="32"/>
          <w:shd w:val="clear" w:color="auto" w:fill="FFFFFF"/>
          <w:lang w:val="en-US" w:eastAsia="zh-CN" w:bidi="ar"/>
        </w:rPr>
        <w:t>230</w:t>
      </w:r>
      <w:r>
        <w:rPr>
          <w:rFonts w:hint="eastAsia" w:ascii="仿宋" w:hAnsi="仿宋" w:eastAsia="仿宋" w:cs="仿宋"/>
          <w:b w:val="0"/>
          <w:i w:val="0"/>
          <w:caps w:val="0"/>
          <w:color w:val="auto"/>
          <w:spacing w:val="0"/>
          <w:sz w:val="32"/>
          <w:szCs w:val="32"/>
          <w:shd w:val="clear" w:color="auto" w:fill="FFFFFF"/>
          <w:lang w:bidi="ar"/>
        </w:rPr>
        <w:t>批，共计</w:t>
      </w:r>
      <w:r>
        <w:rPr>
          <w:rFonts w:hint="eastAsia" w:ascii="仿宋" w:hAnsi="仿宋" w:eastAsia="仿宋" w:cs="仿宋"/>
          <w:b w:val="0"/>
          <w:i w:val="0"/>
          <w:caps w:val="0"/>
          <w:color w:val="auto"/>
          <w:spacing w:val="0"/>
          <w:sz w:val="32"/>
          <w:szCs w:val="32"/>
          <w:shd w:val="clear" w:color="auto" w:fill="FFFFFF"/>
          <w:lang w:val="en-US" w:eastAsia="zh-CN" w:bidi="ar"/>
        </w:rPr>
        <w:t>1150</w:t>
      </w:r>
      <w:r>
        <w:rPr>
          <w:rFonts w:hint="eastAsia" w:ascii="仿宋_GB2312" w:hAnsi="仿宋_GB2312" w:eastAsia="仿宋_GB2312" w:cs="仿宋_GB2312"/>
          <w:sz w:val="32"/>
          <w:szCs w:val="32"/>
        </w:rPr>
        <w:t>人次，主要是</w:t>
      </w:r>
      <w:r>
        <w:rPr>
          <w:rFonts w:hint="eastAsia" w:ascii="仿宋_GB2312" w:eastAsia="仿宋_GB2312"/>
          <w:sz w:val="32"/>
          <w:lang w:val="en-US" w:eastAsia="zh-CN"/>
        </w:rPr>
        <w:t>为了更好地做好外宣工作，加强与兄弟电视台的学习交流</w:t>
      </w:r>
      <w:r>
        <w:rPr>
          <w:rFonts w:hint="eastAsia" w:ascii="仿宋_GB2312" w:hAnsi="仿宋_GB2312" w:eastAsia="仿宋_GB2312" w:cs="仿宋_GB2312"/>
          <w:sz w:val="32"/>
          <w:szCs w:val="32"/>
        </w:rPr>
        <w:t>发生的接待支出。</w:t>
      </w:r>
    </w:p>
    <w:p>
      <w:pPr>
        <w:keepNext w:val="0"/>
        <w:keepLines w:val="0"/>
        <w:pageBreakBefore w:val="0"/>
        <w:widowControl w:val="0"/>
        <w:kinsoku/>
        <w:wordWrap/>
        <w:overflowPunct/>
        <w:topLinePunct w:val="0"/>
        <w:bidi w:val="0"/>
        <w:snapToGrid/>
        <w:spacing w:beforeAutospacing="0" w:afterAutospacing="0" w:line="560" w:lineRule="atLeast"/>
        <w:ind w:firstLine="640" w:firstLineChars="200"/>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、公务用车购置费及运行维护费支出决算为</w:t>
      </w:r>
      <w:r>
        <w:rPr>
          <w:rFonts w:hint="eastAsia" w:ascii="仿宋_GB2312" w:hAnsi="仿宋_GB2312" w:eastAsia="仿宋_GB2312" w:cs="仿宋_GB2312"/>
          <w:sz w:val="32"/>
          <w:szCs w:val="32"/>
          <w:lang w:val="en-US" w:eastAsia="zh-CN"/>
        </w:rPr>
        <w:t>9.47</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更新公务用车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val="en-US" w:eastAsia="zh-CN"/>
        </w:rPr>
        <w:t>9.47</w:t>
      </w:r>
      <w:r>
        <w:rPr>
          <w:rFonts w:hint="eastAsia" w:ascii="仿宋_GB2312" w:hAnsi="仿宋_GB2312" w:eastAsia="仿宋_GB2312" w:cs="仿宋_GB2312"/>
          <w:sz w:val="32"/>
          <w:szCs w:val="32"/>
        </w:rPr>
        <w:t>万元，</w:t>
      </w:r>
      <w:r>
        <w:rPr>
          <w:rFonts w:hint="eastAsia" w:ascii="仿宋_GB2312" w:eastAsia="仿宋_GB2312"/>
          <w:sz w:val="32"/>
        </w:rPr>
        <w:t>主要是</w:t>
      </w:r>
      <w:r>
        <w:rPr>
          <w:rFonts w:hint="eastAsia" w:ascii="仿宋_GB2312" w:eastAsia="仿宋_GB2312"/>
          <w:sz w:val="32"/>
          <w:lang w:eastAsia="zh-CN"/>
        </w:rPr>
        <w:t>新闻工作量增加、扶贫力度加大，</w:t>
      </w:r>
      <w:r>
        <w:rPr>
          <w:rFonts w:hint="eastAsia" w:ascii="仿宋_GB2312" w:eastAsia="仿宋_GB2312"/>
          <w:sz w:val="32"/>
          <w:lang w:val="en-US" w:eastAsia="zh-CN"/>
        </w:rPr>
        <w:t>用车量增加，</w:t>
      </w:r>
      <w:r>
        <w:rPr>
          <w:rFonts w:hint="eastAsia" w:ascii="仿宋_GB2312" w:hAnsi="仿宋_GB2312" w:eastAsia="仿宋_GB2312" w:cs="仿宋_GB2312"/>
          <w:sz w:val="32"/>
          <w:szCs w:val="32"/>
          <w:lang w:val="en-US" w:eastAsia="zh-CN"/>
        </w:rPr>
        <w:t>公车老化加快造成维护费用增加</w:t>
      </w:r>
      <w:r>
        <w:rPr>
          <w:rFonts w:hint="eastAsia" w:ascii="仿宋_GB2312" w:hAnsi="仿宋_GB2312" w:eastAsia="仿宋_GB2312" w:cs="仿宋_GB2312"/>
          <w:sz w:val="32"/>
          <w:szCs w:val="32"/>
        </w:rPr>
        <w:t>，截止2019年12月31日，我单位开支财政拨款的公务用车保有量为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辆。</w:t>
      </w:r>
    </w:p>
    <w:p>
      <w:pPr>
        <w:pStyle w:val="13"/>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八、政府性基金预算收入支出决算情况</w:t>
      </w:r>
    </w:p>
    <w:p>
      <w:pPr>
        <w:pStyle w:val="13"/>
        <w:keepNext w:val="0"/>
        <w:keepLines w:val="0"/>
        <w:pageBreakBefore w:val="0"/>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    2019年度本单位无政府性基金收支</w:t>
      </w:r>
      <w:r>
        <w:rPr>
          <w:rFonts w:hint="eastAsia" w:ascii="仿宋_GB2312" w:hAnsi="仿宋_GB2312" w:eastAsia="仿宋_GB2312" w:cs="仿宋_GB2312"/>
          <w:sz w:val="32"/>
          <w:szCs w:val="32"/>
          <w:lang w:eastAsia="zh-CN"/>
        </w:rPr>
        <w:t>。</w:t>
      </w:r>
    </w:p>
    <w:p>
      <w:pPr>
        <w:pStyle w:val="13"/>
        <w:keepNext w:val="0"/>
        <w:keepLines w:val="0"/>
        <w:pageBreakBefore w:val="0"/>
        <w:numPr>
          <w:ilvl w:val="0"/>
          <w:numId w:val="0"/>
        </w:numPr>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九、</w:t>
      </w:r>
      <w:r>
        <w:rPr>
          <w:rFonts w:hint="eastAsia" w:ascii="仿宋_GB2312" w:hAnsi="仿宋_GB2312" w:eastAsia="仿宋_GB2312" w:cs="仿宋_GB2312"/>
          <w:b/>
          <w:sz w:val="32"/>
          <w:szCs w:val="32"/>
        </w:rPr>
        <w:t>关于2019年度预算绩效情况说明</w:t>
      </w:r>
    </w:p>
    <w:p>
      <w:pPr>
        <w:keepNext w:val="0"/>
        <w:keepLines w:val="0"/>
        <w:pageBreakBefore w:val="0"/>
        <w:widowControl/>
        <w:kinsoku/>
        <w:wordWrap/>
        <w:overflowPunct/>
        <w:topLinePunct w:val="0"/>
        <w:bidi w:val="0"/>
        <w:snapToGrid/>
        <w:spacing w:beforeAutospacing="0" w:afterAutospacing="0" w:line="560" w:lineRule="atLeast"/>
        <w:ind w:firstLine="645"/>
        <w:textAlignment w:val="auto"/>
        <w:rPr>
          <w:rFonts w:hint="eastAsia" w:ascii="仿宋_GB2312" w:eastAsia="仿宋_GB2312"/>
          <w:b/>
          <w:bCs/>
          <w:sz w:val="32"/>
          <w:szCs w:val="32"/>
        </w:rPr>
      </w:pPr>
      <w:r>
        <w:rPr>
          <w:rFonts w:hint="eastAsia" w:ascii="仿宋_GB2312" w:eastAsia="仿宋_GB2312"/>
          <w:b/>
          <w:bCs/>
          <w:sz w:val="32"/>
          <w:szCs w:val="32"/>
        </w:rPr>
        <w:t>（一）绩效管理工作开展情况。</w:t>
      </w:r>
    </w:p>
    <w:p>
      <w:pPr>
        <w:pStyle w:val="7"/>
        <w:keepNext w:val="0"/>
        <w:keepLines w:val="0"/>
        <w:pageBreakBefore w:val="0"/>
        <w:widowControl/>
        <w:suppressLineNumbers w:val="0"/>
        <w:kinsoku/>
        <w:wordWrap/>
        <w:overflowPunct/>
        <w:topLinePunct w:val="0"/>
        <w:bidi w:val="0"/>
        <w:snapToGrid/>
        <w:spacing w:before="0" w:beforeAutospacing="0" w:after="0" w:afterAutospacing="0" w:line="560" w:lineRule="atLeast"/>
        <w:ind w:left="0" w:right="0" w:firstLine="640" w:firstLineChars="200"/>
        <w:jc w:val="both"/>
        <w:textAlignment w:val="auto"/>
        <w:rPr>
          <w:b w:val="0"/>
          <w:bCs w:val="0"/>
          <w:color w:val="auto"/>
        </w:rPr>
      </w:pPr>
      <w:r>
        <w:rPr>
          <w:rFonts w:hint="eastAsia" w:ascii="仿宋" w:hAnsi="仿宋" w:eastAsia="仿宋" w:cs="仿宋"/>
          <w:b w:val="0"/>
          <w:i w:val="0"/>
          <w:caps w:val="0"/>
          <w:color w:val="auto"/>
          <w:spacing w:val="0"/>
          <w:sz w:val="32"/>
          <w:szCs w:val="32"/>
          <w:shd w:val="clear" w:color="auto" w:fill="FFFFFF"/>
          <w:lang w:val="en-US" w:eastAsia="zh-CN" w:bidi="ar"/>
        </w:rPr>
        <w:t>根据《湖南省财政厅关于开展2019年度部门整体支出绩效自评工作的通知》（湘财绩〔2019〕2号）精神，</w:t>
      </w:r>
      <w:r>
        <w:rPr>
          <w:rFonts w:hint="eastAsia" w:ascii="仿宋" w:hAnsi="仿宋" w:eastAsia="仿宋" w:cs="仿宋"/>
          <w:b w:val="0"/>
          <w:i w:val="0"/>
          <w:caps w:val="0"/>
          <w:color w:val="auto"/>
          <w:spacing w:val="0"/>
          <w:sz w:val="32"/>
          <w:szCs w:val="32"/>
          <w:shd w:val="clear" w:color="auto" w:fill="FFFFFF"/>
          <w:lang w:bidi="ar"/>
        </w:rPr>
        <w:t>我</w:t>
      </w:r>
      <w:r>
        <w:rPr>
          <w:rFonts w:hint="eastAsia" w:ascii="仿宋" w:hAnsi="仿宋" w:eastAsia="仿宋" w:cs="仿宋"/>
          <w:b w:val="0"/>
          <w:i w:val="0"/>
          <w:caps w:val="0"/>
          <w:color w:val="auto"/>
          <w:spacing w:val="0"/>
          <w:sz w:val="32"/>
          <w:szCs w:val="32"/>
          <w:shd w:val="clear" w:color="auto" w:fill="FFFFFF"/>
          <w:lang w:val="en-US" w:eastAsia="zh-CN" w:bidi="ar"/>
        </w:rPr>
        <w:t>单位</w:t>
      </w:r>
      <w:r>
        <w:rPr>
          <w:rFonts w:hint="eastAsia" w:ascii="仿宋" w:hAnsi="仿宋" w:eastAsia="仿宋" w:cs="仿宋"/>
          <w:b w:val="0"/>
          <w:i w:val="0"/>
          <w:caps w:val="0"/>
          <w:color w:val="auto"/>
          <w:spacing w:val="0"/>
          <w:sz w:val="32"/>
          <w:szCs w:val="32"/>
          <w:shd w:val="clear" w:color="auto" w:fill="FFFFFF"/>
          <w:lang w:bidi="ar"/>
        </w:rPr>
        <w:t>召开了部门预算绩效评价工作会议，成立了</w:t>
      </w:r>
      <w:r>
        <w:rPr>
          <w:rFonts w:hint="eastAsia" w:ascii="仿宋" w:hAnsi="仿宋" w:eastAsia="仿宋" w:cs="仿宋"/>
          <w:b w:val="0"/>
          <w:i w:val="0"/>
          <w:caps w:val="0"/>
          <w:color w:val="auto"/>
          <w:spacing w:val="0"/>
          <w:sz w:val="32"/>
          <w:szCs w:val="32"/>
          <w:shd w:val="clear" w:color="auto" w:fill="FFFFFF"/>
          <w:lang w:val="en-US" w:eastAsia="zh-CN" w:bidi="ar"/>
        </w:rPr>
        <w:t>蓝山县广播电视台</w:t>
      </w:r>
      <w:r>
        <w:rPr>
          <w:rFonts w:hint="eastAsia" w:ascii="仿宋" w:hAnsi="仿宋" w:eastAsia="仿宋" w:cs="仿宋"/>
          <w:b w:val="0"/>
          <w:i w:val="0"/>
          <w:caps w:val="0"/>
          <w:color w:val="auto"/>
          <w:spacing w:val="0"/>
          <w:sz w:val="32"/>
          <w:szCs w:val="32"/>
          <w:shd w:val="clear" w:color="auto" w:fill="FFFFFF"/>
          <w:lang w:bidi="ar"/>
        </w:rPr>
        <w:t>部门预算绩效评价工作小组，</w:t>
      </w:r>
      <w:r>
        <w:rPr>
          <w:rFonts w:hint="eastAsia" w:ascii="仿宋" w:hAnsi="仿宋" w:eastAsia="仿宋" w:cs="仿宋"/>
          <w:b w:val="0"/>
          <w:i w:val="0"/>
          <w:caps w:val="0"/>
          <w:color w:val="auto"/>
          <w:spacing w:val="0"/>
          <w:sz w:val="32"/>
          <w:szCs w:val="32"/>
          <w:shd w:val="clear" w:color="auto" w:fill="FFFFFF"/>
          <w:lang w:val="en-US" w:eastAsia="zh-CN" w:bidi="ar"/>
        </w:rPr>
        <w:t>由副台长余薇为组长，各股室领导及财务人员为</w:t>
      </w:r>
      <w:r>
        <w:rPr>
          <w:rFonts w:hint="eastAsia" w:ascii="仿宋" w:hAnsi="仿宋" w:eastAsia="仿宋" w:cs="仿宋"/>
          <w:b w:val="0"/>
          <w:i w:val="0"/>
          <w:caps w:val="0"/>
          <w:color w:val="auto"/>
          <w:spacing w:val="0"/>
          <w:sz w:val="32"/>
          <w:szCs w:val="32"/>
          <w:shd w:val="clear" w:color="auto" w:fill="FFFFFF"/>
          <w:lang w:bidi="ar"/>
        </w:rPr>
        <w:t>成员，认真开展了绩效自评工作。评价的内容包括预算配置、预算执行、预算管理、职责履行、履职效益和“三公经费”支出等，确保实现绩效自评、绩效监控覆盖率100%；绩效自评结果公开率100%。</w:t>
      </w:r>
    </w:p>
    <w:p>
      <w:pPr>
        <w:keepNext w:val="0"/>
        <w:keepLines w:val="0"/>
        <w:pageBreakBefore w:val="0"/>
        <w:widowControl/>
        <w:numPr>
          <w:ilvl w:val="0"/>
          <w:numId w:val="4"/>
        </w:numPr>
        <w:kinsoku/>
        <w:wordWrap/>
        <w:overflowPunct/>
        <w:topLinePunct w:val="0"/>
        <w:bidi w:val="0"/>
        <w:snapToGrid/>
        <w:spacing w:beforeAutospacing="0" w:afterAutospacing="0" w:line="560" w:lineRule="atLeast"/>
        <w:ind w:firstLine="645"/>
        <w:textAlignment w:val="auto"/>
        <w:rPr>
          <w:rFonts w:hint="eastAsia" w:ascii="仿宋_GB2312" w:eastAsia="仿宋_GB2312"/>
          <w:b/>
          <w:bCs/>
          <w:sz w:val="32"/>
          <w:szCs w:val="32"/>
        </w:rPr>
      </w:pPr>
      <w:r>
        <w:rPr>
          <w:rFonts w:hint="eastAsia" w:ascii="仿宋_GB2312" w:eastAsia="仿宋_GB2312"/>
          <w:b/>
          <w:bCs/>
          <w:sz w:val="32"/>
          <w:szCs w:val="32"/>
        </w:rPr>
        <w:t>项目绩效自评结果、重点绩效评价结果。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outlineLvl w:val="9"/>
        <w:rPr>
          <w:rFonts w:hint="eastAsia" w:ascii="仿宋_GB2312" w:eastAsia="仿宋_GB2312"/>
          <w:b w:val="0"/>
          <w:bCs w:val="0"/>
          <w:i/>
          <w:iCs/>
          <w:color w:val="FF000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i w:val="0"/>
          <w:caps w:val="0"/>
          <w:color w:val="auto"/>
          <w:spacing w:val="0"/>
          <w:sz w:val="32"/>
          <w:szCs w:val="32"/>
          <w:shd w:val="clear" w:fill="FFFFFF"/>
        </w:rPr>
        <w:t>部门</w:t>
      </w:r>
      <w:r>
        <w:rPr>
          <w:rFonts w:hint="eastAsia" w:ascii="仿宋_GB2312" w:hAnsi="仿宋_GB2312" w:eastAsia="仿宋_GB2312" w:cs="仿宋_GB2312"/>
          <w:b w:val="0"/>
          <w:bCs w:val="0"/>
          <w:i w:val="0"/>
          <w:caps w:val="0"/>
          <w:color w:val="auto"/>
          <w:spacing w:val="0"/>
          <w:sz w:val="32"/>
          <w:szCs w:val="32"/>
          <w:shd w:val="clear" w:fill="FFFFFF"/>
          <w:lang w:val="en-US" w:eastAsia="zh-CN"/>
        </w:rPr>
        <w:t>预算</w:t>
      </w:r>
      <w:r>
        <w:rPr>
          <w:rFonts w:hint="eastAsia" w:ascii="仿宋_GB2312" w:hAnsi="仿宋_GB2312" w:eastAsia="仿宋_GB2312" w:cs="仿宋_GB2312"/>
          <w:b w:val="0"/>
          <w:bCs w:val="0"/>
          <w:i w:val="0"/>
          <w:caps w:val="0"/>
          <w:color w:val="auto"/>
          <w:spacing w:val="0"/>
          <w:sz w:val="32"/>
          <w:szCs w:val="32"/>
          <w:shd w:val="clear" w:fill="FFFFFF"/>
        </w:rPr>
        <w:t>整体支出绩效评价自评分为</w:t>
      </w:r>
      <w:r>
        <w:rPr>
          <w:rFonts w:hint="eastAsia" w:ascii="仿宋_GB2312" w:hAnsi="仿宋_GB2312" w:eastAsia="仿宋_GB2312" w:cs="仿宋_GB2312"/>
          <w:b w:val="0"/>
          <w:bCs w:val="0"/>
          <w:i w:val="0"/>
          <w:caps w:val="0"/>
          <w:color w:val="auto"/>
          <w:spacing w:val="0"/>
          <w:sz w:val="32"/>
          <w:szCs w:val="32"/>
          <w:shd w:val="clear" w:fill="FFFFFF"/>
          <w:lang w:val="en-US" w:eastAsia="zh-CN"/>
        </w:rPr>
        <w:t>91</w:t>
      </w:r>
      <w:r>
        <w:rPr>
          <w:rFonts w:hint="eastAsia" w:ascii="仿宋_GB2312" w:hAnsi="仿宋_GB2312" w:eastAsia="仿宋_GB2312" w:cs="仿宋_GB2312"/>
          <w:b w:val="0"/>
          <w:bCs w:val="0"/>
          <w:i w:val="0"/>
          <w:caps w:val="0"/>
          <w:color w:val="auto"/>
          <w:spacing w:val="0"/>
          <w:sz w:val="32"/>
          <w:szCs w:val="32"/>
          <w:shd w:val="clear" w:fill="FFFFFF"/>
        </w:rPr>
        <w:t>分，</w:t>
      </w:r>
      <w:r>
        <w:rPr>
          <w:rFonts w:hint="eastAsia" w:ascii="仿宋" w:hAnsi="仿宋" w:eastAsia="仿宋" w:cs="仿宋"/>
          <w:b w:val="0"/>
          <w:i w:val="0"/>
          <w:caps w:val="0"/>
          <w:color w:val="auto"/>
          <w:spacing w:val="0"/>
          <w:sz w:val="32"/>
          <w:szCs w:val="32"/>
          <w:shd w:val="clear" w:color="auto" w:fill="FFFFFF"/>
          <w:lang w:val="en-US" w:eastAsia="zh-CN" w:bidi="ar"/>
        </w:rPr>
        <w:t>聘请专技人员经费</w:t>
      </w:r>
      <w:r>
        <w:rPr>
          <w:rFonts w:hint="eastAsia" w:ascii="仿宋" w:hAnsi="仿宋" w:eastAsia="仿宋" w:cs="仿宋"/>
          <w:b w:val="0"/>
          <w:i w:val="0"/>
          <w:caps w:val="0"/>
          <w:color w:val="auto"/>
          <w:spacing w:val="0"/>
          <w:sz w:val="32"/>
          <w:szCs w:val="32"/>
          <w:shd w:val="clear" w:color="auto" w:fill="FFFFFF"/>
          <w:lang w:bidi="ar"/>
        </w:rPr>
        <w:t>绩效评价自评为</w:t>
      </w:r>
      <w:r>
        <w:rPr>
          <w:rFonts w:hint="eastAsia" w:ascii="仿宋" w:hAnsi="仿宋" w:eastAsia="仿宋" w:cs="仿宋"/>
          <w:b w:val="0"/>
          <w:i w:val="0"/>
          <w:caps w:val="0"/>
          <w:color w:val="auto"/>
          <w:spacing w:val="0"/>
          <w:sz w:val="32"/>
          <w:szCs w:val="32"/>
          <w:shd w:val="clear" w:color="auto" w:fill="FFFFFF"/>
          <w:lang w:val="en-US" w:eastAsia="zh-CN" w:bidi="ar"/>
        </w:rPr>
        <w:t>96分。蓝山县融媒体中心建设项目</w:t>
      </w:r>
      <w:r>
        <w:rPr>
          <w:rFonts w:hint="eastAsia" w:ascii="仿宋_GB2312" w:hAnsi="仿宋_GB2312" w:eastAsia="仿宋_GB2312" w:cs="仿宋_GB2312"/>
          <w:b w:val="0"/>
          <w:bCs w:val="0"/>
          <w:i w:val="0"/>
          <w:caps w:val="0"/>
          <w:color w:val="auto"/>
          <w:spacing w:val="0"/>
          <w:sz w:val="32"/>
          <w:szCs w:val="32"/>
          <w:shd w:val="clear" w:fill="FFFFFF"/>
        </w:rPr>
        <w:t>为重点</w:t>
      </w:r>
      <w:r>
        <w:rPr>
          <w:rFonts w:hint="eastAsia" w:ascii="仿宋_GB2312" w:hAnsi="仿宋_GB2312" w:eastAsia="仿宋_GB2312" w:cs="仿宋_GB2312"/>
          <w:b w:val="0"/>
          <w:bCs w:val="0"/>
          <w:i w:val="0"/>
          <w:caps w:val="0"/>
          <w:color w:val="auto"/>
          <w:spacing w:val="0"/>
          <w:sz w:val="32"/>
          <w:szCs w:val="32"/>
          <w:shd w:val="clear" w:fill="FFFFFF"/>
          <w:lang w:val="en-US" w:eastAsia="zh-CN"/>
        </w:rPr>
        <w:t>项目金额193万元，重点项目</w:t>
      </w:r>
      <w:r>
        <w:rPr>
          <w:rFonts w:hint="eastAsia" w:ascii="仿宋_GB2312" w:hAnsi="仿宋_GB2312" w:eastAsia="仿宋_GB2312" w:cs="仿宋_GB2312"/>
          <w:b w:val="0"/>
          <w:bCs w:val="0"/>
          <w:i w:val="0"/>
          <w:caps w:val="0"/>
          <w:color w:val="auto"/>
          <w:spacing w:val="0"/>
          <w:sz w:val="32"/>
          <w:szCs w:val="32"/>
          <w:shd w:val="clear" w:fill="FFFFFF"/>
        </w:rPr>
        <w:t>绩效</w:t>
      </w:r>
      <w:r>
        <w:rPr>
          <w:rFonts w:hint="eastAsia" w:ascii="仿宋_GB2312" w:hAnsi="仿宋_GB2312" w:eastAsia="仿宋_GB2312" w:cs="仿宋_GB2312"/>
          <w:b w:val="0"/>
          <w:bCs w:val="0"/>
          <w:i w:val="0"/>
          <w:caps w:val="0"/>
          <w:color w:val="auto"/>
          <w:spacing w:val="0"/>
          <w:sz w:val="32"/>
          <w:szCs w:val="32"/>
          <w:shd w:val="clear" w:fill="FFFFFF"/>
          <w:lang w:val="en-US" w:eastAsia="zh-CN"/>
        </w:rPr>
        <w:t>评价自评</w:t>
      </w:r>
      <w:r>
        <w:rPr>
          <w:rFonts w:hint="eastAsia" w:ascii="仿宋_GB2312" w:hAnsi="仿宋_GB2312" w:eastAsia="仿宋_GB2312" w:cs="仿宋_GB2312"/>
          <w:b w:val="0"/>
          <w:bCs w:val="0"/>
          <w:i w:val="0"/>
          <w:caps w:val="0"/>
          <w:color w:val="auto"/>
          <w:spacing w:val="0"/>
          <w:sz w:val="32"/>
          <w:szCs w:val="32"/>
          <w:shd w:val="clear" w:fill="FFFFFF"/>
        </w:rPr>
        <w:t>为</w:t>
      </w:r>
      <w:r>
        <w:rPr>
          <w:rFonts w:hint="eastAsia" w:ascii="仿宋_GB2312" w:hAnsi="仿宋_GB2312" w:eastAsia="仿宋_GB2312" w:cs="仿宋_GB2312"/>
          <w:b w:val="0"/>
          <w:bCs w:val="0"/>
          <w:i w:val="0"/>
          <w:caps w:val="0"/>
          <w:color w:val="auto"/>
          <w:spacing w:val="0"/>
          <w:sz w:val="32"/>
          <w:szCs w:val="32"/>
          <w:shd w:val="clear" w:fill="FFFFFF"/>
          <w:lang w:val="en-US" w:eastAsia="zh-CN"/>
        </w:rPr>
        <w:t>98</w:t>
      </w:r>
      <w:r>
        <w:rPr>
          <w:rFonts w:hint="eastAsia" w:ascii="仿宋_GB2312" w:hAnsi="仿宋_GB2312" w:eastAsia="仿宋_GB2312" w:cs="仿宋_GB2312"/>
          <w:b w:val="0"/>
          <w:bCs w:val="0"/>
          <w:i w:val="0"/>
          <w:caps w:val="0"/>
          <w:color w:val="auto"/>
          <w:spacing w:val="0"/>
          <w:sz w:val="32"/>
          <w:szCs w:val="32"/>
          <w:shd w:val="clear" w:fill="FFFFFF"/>
        </w:rPr>
        <w:t>分。</w:t>
      </w:r>
    </w:p>
    <w:p>
      <w:pPr>
        <w:pStyle w:val="13"/>
        <w:keepNext w:val="0"/>
        <w:keepLines w:val="0"/>
        <w:pageBreakBefore w:val="0"/>
        <w:numPr>
          <w:ilvl w:val="0"/>
          <w:numId w:val="5"/>
        </w:numPr>
        <w:kinsoku/>
        <w:wordWrap/>
        <w:overflowPunct/>
        <w:topLinePunct w:val="0"/>
        <w:bidi w:val="0"/>
        <w:snapToGrid/>
        <w:spacing w:beforeAutospacing="0" w:afterAutospacing="0" w:line="560" w:lineRule="atLeas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其他重要事项情况说明</w:t>
      </w:r>
    </w:p>
    <w:p>
      <w:pPr>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w:t>
      </w:r>
      <w:r>
        <w:rPr>
          <w:rFonts w:hint="eastAsia" w:ascii="仿宋_GB2312" w:hAnsi="仿宋_GB2312" w:eastAsia="仿宋_GB2312" w:cs="仿宋_GB2312"/>
          <w:b/>
          <w:color w:val="000000"/>
          <w:kern w:val="0"/>
          <w:sz w:val="32"/>
          <w:szCs w:val="32"/>
          <w:lang w:val="en-US" w:eastAsia="zh-CN"/>
        </w:rPr>
        <w:t>一</w:t>
      </w:r>
      <w:r>
        <w:rPr>
          <w:rFonts w:hint="eastAsia" w:ascii="仿宋_GB2312" w:hAnsi="仿宋_GB2312" w:eastAsia="仿宋_GB2312" w:cs="仿宋_GB2312"/>
          <w:b/>
          <w:color w:val="000000"/>
          <w:kern w:val="0"/>
          <w:sz w:val="32"/>
          <w:szCs w:val="32"/>
        </w:rPr>
        <w:t>）一般性支出情况</w:t>
      </w:r>
    </w:p>
    <w:p>
      <w:pPr>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eastAsia="仿宋_GB2312"/>
          <w:sz w:val="32"/>
          <w:lang w:val="en-US" w:eastAsia="zh-CN"/>
        </w:rPr>
      </w:pPr>
      <w:r>
        <w:rPr>
          <w:rFonts w:hint="eastAsia" w:ascii="仿宋_GB2312" w:eastAsia="仿宋_GB2312"/>
          <w:sz w:val="32"/>
          <w:lang w:val="en-US"/>
        </w:rPr>
        <w:t>2</w:t>
      </w:r>
      <w:r>
        <w:rPr>
          <w:rFonts w:hint="eastAsia" w:ascii="仿宋_GB2312" w:eastAsia="仿宋_GB2312"/>
          <w:sz w:val="32"/>
          <w:lang w:val="en-US" w:eastAsia="zh-CN"/>
        </w:rPr>
        <w:t>019年本单位未承办会议，无会议费开支。</w:t>
      </w:r>
    </w:p>
    <w:p>
      <w:pPr>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w:t>
      </w:r>
      <w:r>
        <w:rPr>
          <w:rFonts w:hint="eastAsia" w:ascii="仿宋_GB2312" w:hAnsi="仿宋_GB2312" w:eastAsia="仿宋_GB2312" w:cs="仿宋_GB2312"/>
          <w:b/>
          <w:color w:val="000000"/>
          <w:kern w:val="0"/>
          <w:sz w:val="32"/>
          <w:szCs w:val="32"/>
          <w:lang w:val="en-US" w:eastAsia="zh-CN"/>
        </w:rPr>
        <w:t>二</w:t>
      </w:r>
      <w:r>
        <w:rPr>
          <w:rFonts w:hint="eastAsia" w:ascii="仿宋_GB2312" w:hAnsi="仿宋_GB2312" w:eastAsia="仿宋_GB2312" w:cs="仿宋_GB2312"/>
          <w:b/>
          <w:color w:val="000000"/>
          <w:kern w:val="0"/>
          <w:sz w:val="32"/>
          <w:szCs w:val="32"/>
        </w:rPr>
        <w:t>）政府采购支出情况</w:t>
      </w:r>
    </w:p>
    <w:p>
      <w:pPr>
        <w:spacing w:line="560" w:lineRule="atLeast"/>
        <w:ind w:firstLine="640" w:firstLineChars="2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本部门2019年度政府采购支出总额</w:t>
      </w:r>
      <w:r>
        <w:rPr>
          <w:rFonts w:hint="eastAsia" w:ascii="仿宋_GB2312" w:eastAsia="仿宋_GB2312"/>
          <w:sz w:val="32"/>
          <w:lang w:val="en-US" w:eastAsia="zh-CN"/>
        </w:rPr>
        <w:t>235.22万元，</w:t>
      </w:r>
      <w:r>
        <w:rPr>
          <w:rFonts w:hint="eastAsia" w:ascii="仿宋_GB2312" w:hAnsi="仿宋_GB2312" w:eastAsia="仿宋_GB2312" w:cs="仿宋_GB2312"/>
          <w:color w:val="000000"/>
          <w:kern w:val="0"/>
          <w:sz w:val="32"/>
          <w:szCs w:val="32"/>
        </w:rPr>
        <w:t>其中：政府采购货物支出</w:t>
      </w:r>
      <w:r>
        <w:rPr>
          <w:rFonts w:hint="eastAsia" w:ascii="仿宋_GB2312" w:eastAsia="仿宋_GB2312"/>
          <w:sz w:val="32"/>
          <w:lang w:val="en-US" w:eastAsia="zh-CN"/>
        </w:rPr>
        <w:t>192.22万元，</w:t>
      </w:r>
      <w:r>
        <w:rPr>
          <w:rFonts w:hint="eastAsia" w:ascii="仿宋_GB2312" w:hAnsi="仿宋_GB2312" w:eastAsia="仿宋_GB2312" w:cs="仿宋_GB2312"/>
          <w:color w:val="000000"/>
          <w:kern w:val="0"/>
          <w:sz w:val="32"/>
          <w:szCs w:val="32"/>
        </w:rPr>
        <w:t>政府采购工程支出</w:t>
      </w:r>
      <w:r>
        <w:rPr>
          <w:rFonts w:hint="eastAsia" w:ascii="仿宋_GB2312" w:hAnsi="仿宋_GB2312" w:eastAsia="仿宋_GB2312" w:cs="仿宋_GB2312"/>
          <w:color w:val="000000"/>
          <w:kern w:val="0"/>
          <w:sz w:val="32"/>
          <w:szCs w:val="32"/>
          <w:lang w:val="en-US" w:eastAsia="zh-CN"/>
        </w:rPr>
        <w:t>43</w:t>
      </w:r>
      <w:r>
        <w:rPr>
          <w:rFonts w:hint="eastAsia" w:ascii="仿宋_GB2312" w:hAnsi="仿宋_GB2312" w:eastAsia="仿宋_GB2312" w:cs="仿宋_GB2312"/>
          <w:color w:val="000000"/>
          <w:kern w:val="0"/>
          <w:sz w:val="32"/>
          <w:szCs w:val="32"/>
        </w:rPr>
        <w:t>万元</w:t>
      </w:r>
      <w:r>
        <w:rPr>
          <w:rFonts w:hint="eastAsia" w:ascii="仿宋_GB2312" w:eastAsia="仿宋_GB2312"/>
          <w:sz w:val="32"/>
          <w:lang w:val="en-US" w:eastAsia="zh-CN"/>
        </w:rPr>
        <w:t>。</w:t>
      </w:r>
      <w:r>
        <w:rPr>
          <w:rFonts w:hint="eastAsia" w:ascii="仿宋_GB2312" w:hAnsi="仿宋_GB2312" w:eastAsia="仿宋_GB2312" w:cs="仿宋_GB2312"/>
          <w:color w:val="000000"/>
          <w:kern w:val="0"/>
          <w:sz w:val="32"/>
          <w:szCs w:val="32"/>
        </w:rPr>
        <w:t>授予中小企业合同金额</w:t>
      </w:r>
      <w:r>
        <w:rPr>
          <w:rFonts w:hint="eastAsia" w:ascii="仿宋_GB2312" w:hAnsi="仿宋_GB2312" w:eastAsia="仿宋_GB2312" w:cs="仿宋_GB2312"/>
          <w:color w:val="000000"/>
          <w:kern w:val="0"/>
          <w:sz w:val="32"/>
          <w:szCs w:val="32"/>
          <w:lang w:val="en-US" w:eastAsia="zh-CN"/>
        </w:rPr>
        <w:t>235.22</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w:t>
      </w:r>
    </w:p>
    <w:p>
      <w:pPr>
        <w:keepNext w:val="0"/>
        <w:keepLines w:val="0"/>
        <w:pageBreakBefore w:val="0"/>
        <w:kinsoku/>
        <w:wordWrap/>
        <w:overflowPunct/>
        <w:topLinePunct w:val="0"/>
        <w:bidi w:val="0"/>
        <w:snapToGrid/>
        <w:spacing w:beforeAutospacing="0" w:afterAutospacing="0" w:line="560" w:lineRule="atLeast"/>
        <w:ind w:firstLine="640" w:firstLineChars="200"/>
        <w:textAlignment w:val="auto"/>
        <w:rPr>
          <w:rFonts w:hint="eastAsia" w:ascii="仿宋_GB2312" w:hAnsi="仿宋_GB2312" w:eastAsia="仿宋_GB2312" w:cs="仿宋_GB2312"/>
          <w:b/>
          <w:color w:val="000000"/>
          <w:kern w:val="0"/>
          <w:sz w:val="32"/>
          <w:szCs w:val="32"/>
        </w:rPr>
      </w:pPr>
      <w:bookmarkStart w:id="2" w:name="_GoBack"/>
      <w:bookmarkEnd w:id="2"/>
      <w:r>
        <w:rPr>
          <w:rFonts w:hint="eastAsia" w:ascii="仿宋_GB2312" w:hAnsi="仿宋_GB2312" w:eastAsia="仿宋_GB2312" w:cs="仿宋_GB2312"/>
          <w:b/>
          <w:color w:val="000000"/>
          <w:kern w:val="0"/>
          <w:sz w:val="32"/>
          <w:szCs w:val="32"/>
        </w:rPr>
        <w:t>（</w:t>
      </w:r>
      <w:r>
        <w:rPr>
          <w:rFonts w:hint="eastAsia" w:ascii="仿宋_GB2312" w:hAnsi="仿宋_GB2312" w:eastAsia="仿宋_GB2312" w:cs="仿宋_GB2312"/>
          <w:b/>
          <w:color w:val="000000"/>
          <w:kern w:val="0"/>
          <w:sz w:val="32"/>
          <w:szCs w:val="32"/>
          <w:lang w:val="en-US" w:eastAsia="zh-CN"/>
        </w:rPr>
        <w:t>三</w:t>
      </w:r>
      <w:r>
        <w:rPr>
          <w:rFonts w:hint="eastAsia" w:ascii="仿宋_GB2312" w:hAnsi="仿宋_GB2312" w:eastAsia="仿宋_GB2312" w:cs="仿宋_GB2312"/>
          <w:b/>
          <w:color w:val="000000"/>
          <w:kern w:val="0"/>
          <w:sz w:val="32"/>
          <w:szCs w:val="32"/>
        </w:rPr>
        <w:t>）国有资产占用情况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截至2019年12月31日，本单位共有车辆</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辆，</w:t>
      </w:r>
      <w:r>
        <w:rPr>
          <w:rFonts w:hint="eastAsia" w:ascii="仿宋" w:hAnsi="仿宋" w:eastAsia="仿宋" w:cs="仿宋"/>
          <w:b w:val="0"/>
          <w:i w:val="0"/>
          <w:caps w:val="0"/>
          <w:color w:val="auto"/>
          <w:spacing w:val="0"/>
          <w:kern w:val="0"/>
          <w:sz w:val="32"/>
          <w:szCs w:val="32"/>
          <w:shd w:val="clear" w:color="auto" w:fill="FFFFFF"/>
          <w:lang w:val="en-US" w:eastAsia="zh-CN" w:bidi="ar"/>
        </w:rPr>
        <w:t>均为一般公务用车。</w:t>
      </w:r>
      <w:r>
        <w:rPr>
          <w:rFonts w:hint="eastAsia" w:ascii="仿宋_GB2312" w:hAnsi="仿宋_GB2312" w:eastAsia="仿宋_GB2312" w:cs="仿宋_GB2312"/>
          <w:color w:val="000000"/>
          <w:kern w:val="0"/>
          <w:sz w:val="32"/>
          <w:szCs w:val="32"/>
          <w:lang w:val="en-US" w:eastAsia="zh-CN"/>
        </w:rPr>
        <w:t>单位价值 50万元以上通用设备0套，单价100 万元以上专用设备0套。办公用房3157.56平方米，业务用房0平方米，其他用房0平方米。</w:t>
      </w:r>
    </w:p>
    <w:p>
      <w:pPr>
        <w:keepNext w:val="0"/>
        <w:keepLines w:val="0"/>
        <w:pageBreakBefore w:val="0"/>
        <w:widowControl/>
        <w:kinsoku/>
        <w:wordWrap/>
        <w:overflowPunct/>
        <w:topLinePunct w:val="0"/>
        <w:bidi w:val="0"/>
        <w:snapToGrid/>
        <w:spacing w:beforeAutospacing="0" w:afterAutospacing="0" w:line="560" w:lineRule="atLeas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napToGrid/>
        <w:spacing w:beforeAutospacing="0" w:afterAutospacing="0" w:line="560" w:lineRule="atLeas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napToGrid/>
        <w:spacing w:beforeAutospacing="0" w:afterAutospacing="0" w:line="560" w:lineRule="atLeas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napToGrid/>
        <w:spacing w:beforeAutospacing="0" w:afterAutospacing="0" w:line="560" w:lineRule="atLeas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napToGrid/>
        <w:spacing w:beforeAutospacing="0" w:afterAutospacing="0" w:line="560" w:lineRule="atLeas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napToGrid/>
        <w:spacing w:beforeAutospacing="0" w:afterAutospacing="0" w:line="560" w:lineRule="atLeas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napToGrid/>
        <w:spacing w:beforeAutospacing="0" w:afterAutospacing="0" w:line="560" w:lineRule="atLeas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napToGrid/>
        <w:spacing w:beforeAutospacing="0" w:afterAutospacing="0" w:line="560" w:lineRule="atLeas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napToGrid/>
        <w:spacing w:beforeAutospacing="0" w:afterAutospacing="0" w:line="560" w:lineRule="atLeas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napToGrid/>
        <w:spacing w:beforeAutospacing="0" w:afterAutospacing="0" w:line="560" w:lineRule="atLeas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napToGrid/>
        <w:spacing w:beforeAutospacing="0" w:afterAutospacing="0" w:line="560" w:lineRule="atLeast"/>
        <w:jc w:val="center"/>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sz w:val="32"/>
          <w:szCs w:val="32"/>
        </w:rPr>
        <w:t>第四部分</w:t>
      </w:r>
      <w:r>
        <w:rPr>
          <w:rFonts w:hint="eastAsia" w:ascii="仿宋_GB2312" w:hAnsi="仿宋_GB2312" w:eastAsia="仿宋_GB2312" w:cs="仿宋_GB2312"/>
          <w:b/>
          <w:bCs/>
          <w:color w:val="000000"/>
          <w:kern w:val="0"/>
          <w:sz w:val="32"/>
          <w:szCs w:val="32"/>
        </w:rPr>
        <w:t>名词解释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atLeast"/>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楷体_GB2312" w:hAnsi="楷体_GB2312" w:eastAsia="楷体_GB2312" w:cs="楷体_GB2312"/>
          <w:b/>
          <w:bCs/>
          <w:i w:val="0"/>
          <w:caps w:val="0"/>
          <w:color w:val="000000"/>
          <w:spacing w:val="0"/>
          <w:sz w:val="32"/>
          <w:szCs w:val="32"/>
          <w:shd w:val="clear" w:color="auto" w:fill="FFFFFF"/>
          <w:lang w:eastAsia="zh-CN"/>
        </w:rPr>
        <w:t>（一）</w:t>
      </w:r>
      <w:r>
        <w:rPr>
          <w:rFonts w:hint="eastAsia" w:ascii="楷体_GB2312" w:hAnsi="楷体_GB2312" w:eastAsia="楷体_GB2312" w:cs="楷体_GB2312"/>
          <w:b/>
          <w:bCs/>
          <w:i w:val="0"/>
          <w:caps w:val="0"/>
          <w:color w:val="000000"/>
          <w:spacing w:val="0"/>
          <w:sz w:val="32"/>
          <w:szCs w:val="32"/>
          <w:shd w:val="clear" w:color="auto" w:fill="FFFFFF"/>
        </w:rPr>
        <w:t>机关运行经费</w:t>
      </w:r>
      <w:r>
        <w:rPr>
          <w:rFonts w:hint="eastAsia" w:ascii="仿宋_GB2312" w:hAnsi="仿宋_GB2312" w:eastAsia="仿宋_GB2312" w:cs="仿宋_GB2312"/>
          <w:i w:val="0"/>
          <w:caps w:val="0"/>
          <w:color w:val="000000"/>
          <w:spacing w:val="0"/>
          <w:sz w:val="32"/>
          <w:szCs w:val="32"/>
          <w:shd w:val="clear" w:color="auto" w:fill="FFFFFF"/>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atLeast"/>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楷体_GB2312" w:hAnsi="楷体_GB2312" w:eastAsia="楷体_GB2312" w:cs="楷体_GB2312"/>
          <w:b/>
          <w:bCs/>
          <w:i w:val="0"/>
          <w:caps w:val="0"/>
          <w:color w:val="000000"/>
          <w:spacing w:val="0"/>
          <w:sz w:val="32"/>
          <w:szCs w:val="32"/>
          <w:shd w:val="clear" w:color="auto" w:fill="FFFFFF"/>
          <w:lang w:eastAsia="zh-CN"/>
        </w:rPr>
        <w:t>（二）</w:t>
      </w:r>
      <w:r>
        <w:rPr>
          <w:rFonts w:hint="eastAsia" w:ascii="楷体_GB2312" w:hAnsi="楷体_GB2312" w:eastAsia="楷体_GB2312" w:cs="楷体_GB2312"/>
          <w:b/>
          <w:bCs/>
          <w:i w:val="0"/>
          <w:caps w:val="0"/>
          <w:color w:val="000000"/>
          <w:spacing w:val="0"/>
          <w:sz w:val="32"/>
          <w:szCs w:val="32"/>
          <w:shd w:val="clear" w:color="auto" w:fill="FFFFFF"/>
        </w:rPr>
        <w:t>“三公”经费。</w:t>
      </w:r>
      <w:r>
        <w:rPr>
          <w:rFonts w:hint="eastAsia" w:ascii="仿宋_GB2312" w:hAnsi="仿宋_GB2312" w:eastAsia="仿宋_GB2312" w:cs="仿宋_GB2312"/>
          <w:i w:val="0"/>
          <w:caps w:val="0"/>
          <w:color w:val="000000"/>
          <w:spacing w:val="0"/>
          <w:sz w:val="32"/>
          <w:szCs w:val="32"/>
          <w:shd w:val="clear" w:color="auto" w:fill="FFFFFF"/>
        </w:rPr>
        <w:t>一般公共预算“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atLeast"/>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楷体_GB2312" w:hAnsi="楷体_GB2312" w:eastAsia="楷体_GB2312" w:cs="楷体_GB2312"/>
          <w:b/>
          <w:bCs/>
          <w:i w:val="0"/>
          <w:caps w:val="0"/>
          <w:color w:val="000000"/>
          <w:spacing w:val="0"/>
          <w:sz w:val="32"/>
          <w:szCs w:val="32"/>
          <w:shd w:val="clear" w:color="auto" w:fill="FFFFFF"/>
          <w:lang w:eastAsia="zh-CN"/>
        </w:rPr>
        <w:t>（三）</w:t>
      </w:r>
      <w:r>
        <w:rPr>
          <w:rFonts w:hint="eastAsia" w:ascii="楷体_GB2312" w:hAnsi="楷体_GB2312" w:eastAsia="楷体_GB2312" w:cs="楷体_GB2312"/>
          <w:b/>
          <w:bCs/>
          <w:i w:val="0"/>
          <w:caps w:val="0"/>
          <w:color w:val="000000"/>
          <w:spacing w:val="0"/>
          <w:sz w:val="32"/>
          <w:szCs w:val="32"/>
          <w:shd w:val="clear" w:color="auto" w:fill="FFFFFF"/>
        </w:rPr>
        <w:t>基本支出。</w:t>
      </w:r>
      <w:r>
        <w:rPr>
          <w:rFonts w:hint="eastAsia" w:ascii="仿宋_GB2312" w:hAnsi="仿宋_GB2312" w:eastAsia="仿宋_GB2312" w:cs="仿宋_GB2312"/>
          <w:i w:val="0"/>
          <w:caps w:val="0"/>
          <w:color w:val="000000"/>
          <w:spacing w:val="0"/>
          <w:sz w:val="32"/>
          <w:szCs w:val="32"/>
          <w:shd w:val="clear" w:color="auto" w:fill="FFFFFF"/>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atLeast"/>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楷体_GB2312" w:hAnsi="楷体_GB2312" w:eastAsia="楷体_GB2312" w:cs="楷体_GB2312"/>
          <w:b/>
          <w:bCs/>
          <w:i w:val="0"/>
          <w:caps w:val="0"/>
          <w:color w:val="000000"/>
          <w:spacing w:val="0"/>
          <w:sz w:val="32"/>
          <w:szCs w:val="32"/>
          <w:shd w:val="clear" w:color="auto" w:fill="FFFFFF"/>
          <w:lang w:eastAsia="zh-CN"/>
        </w:rPr>
        <w:t>（四）</w:t>
      </w:r>
      <w:r>
        <w:rPr>
          <w:rFonts w:hint="eastAsia" w:ascii="楷体_GB2312" w:hAnsi="楷体_GB2312" w:eastAsia="楷体_GB2312" w:cs="楷体_GB2312"/>
          <w:b/>
          <w:bCs/>
          <w:i w:val="0"/>
          <w:caps w:val="0"/>
          <w:color w:val="000000"/>
          <w:spacing w:val="0"/>
          <w:sz w:val="32"/>
          <w:szCs w:val="32"/>
          <w:shd w:val="clear" w:color="auto" w:fill="FFFFFF"/>
        </w:rPr>
        <w:t>项目支出。</w:t>
      </w:r>
      <w:r>
        <w:rPr>
          <w:rFonts w:hint="eastAsia" w:ascii="仿宋_GB2312" w:hAnsi="仿宋_GB2312" w:eastAsia="仿宋_GB2312" w:cs="仿宋_GB2312"/>
          <w:i w:val="0"/>
          <w:caps w:val="0"/>
          <w:color w:val="000000"/>
          <w:spacing w:val="0"/>
          <w:sz w:val="32"/>
          <w:szCs w:val="32"/>
          <w:shd w:val="clear" w:color="auto" w:fill="FFFFFF"/>
        </w:rPr>
        <w:t>指在基本支出之外为完成特定行政任务和事业发展目标所发生的支出。</w:t>
      </w:r>
    </w:p>
    <w:p>
      <w:pPr>
        <w:pStyle w:val="13"/>
        <w:keepNext w:val="0"/>
        <w:keepLines w:val="0"/>
        <w:pageBreakBefore w:val="0"/>
        <w:kinsoku/>
        <w:wordWrap/>
        <w:overflowPunct/>
        <w:topLinePunct w:val="0"/>
        <w:bidi w:val="0"/>
        <w:snapToGrid/>
        <w:spacing w:beforeAutospacing="0" w:afterAutospacing="0" w:line="560" w:lineRule="atLeast"/>
        <w:jc w:val="both"/>
        <w:textAlignment w:val="auto"/>
        <w:rPr>
          <w:rFonts w:hint="eastAsia"/>
          <w:sz w:val="72"/>
          <w:szCs w:val="72"/>
        </w:rPr>
      </w:pPr>
    </w:p>
    <w:p>
      <w:pPr>
        <w:ind w:firstLine="640" w:firstLineChars="200"/>
        <w:jc w:val="left"/>
        <w:rPr>
          <w:rFonts w:hint="eastAsia" w:ascii="仿宋_GB2312" w:hAnsi="仿宋_GB2312" w:eastAsia="仿宋_GB2312" w:cs="仿宋_GB2312"/>
          <w:b/>
          <w:bCs/>
          <w:color w:val="000000"/>
          <w:kern w:val="0"/>
          <w:sz w:val="32"/>
          <w:szCs w:val="32"/>
          <w:lang w:eastAsia="zh-CN"/>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8DA1861-FDE6-402F-9283-3D4183C842E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5664EDE1-3B8C-40E7-9BFA-318BB16AB9BA}"/>
  </w:font>
  <w:font w:name="仿宋_GB2312">
    <w:panose1 w:val="02010609030101010101"/>
    <w:charset w:val="86"/>
    <w:family w:val="modern"/>
    <w:pitch w:val="default"/>
    <w:sig w:usb0="00000001" w:usb1="080E0000" w:usb2="00000000" w:usb3="00000000" w:csb0="00040000" w:csb1="00000000"/>
    <w:embedRegular r:id="rId3" w:fontKey="{821A8675-47CF-4336-AC97-58295C226EBD}"/>
  </w:font>
  <w:font w:name="仿宋">
    <w:panose1 w:val="02010609060101010101"/>
    <w:charset w:val="86"/>
    <w:family w:val="roman"/>
    <w:pitch w:val="default"/>
    <w:sig w:usb0="800002BF" w:usb1="38CF7CFA" w:usb2="00000016" w:usb3="00000000" w:csb0="00040001" w:csb1="00000000"/>
    <w:embedRegular r:id="rId4" w:fontKey="{556EB798-2683-46A0-9AB3-A6E5771B3D9C}"/>
  </w:font>
  <w:font w:name="方正小标宋_GBK">
    <w:panose1 w:val="02000000000000000000"/>
    <w:charset w:val="86"/>
    <w:family w:val="script"/>
    <w:pitch w:val="default"/>
    <w:sig w:usb0="A00002BF" w:usb1="38CF7CFA" w:usb2="00082016" w:usb3="00000000" w:csb0="00040001" w:csb1="00000000"/>
    <w:embedRegular r:id="rId5" w:fontKey="{6999DED7-25C1-449F-BEAF-ACA072A53597}"/>
  </w:font>
  <w:font w:name="楷体_GB2312">
    <w:panose1 w:val="02010609030101010101"/>
    <w:charset w:val="86"/>
    <w:family w:val="auto"/>
    <w:pitch w:val="default"/>
    <w:sig w:usb0="00000001" w:usb1="080E0000" w:usb2="00000000" w:usb3="00000000" w:csb0="00040000" w:csb1="00000000"/>
    <w:embedRegular r:id="rId6" w:fontKey="{1DBBC89F-91DA-4CB1-A8D2-78843D0767D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F66576"/>
    <w:multiLevelType w:val="singleLevel"/>
    <w:tmpl w:val="F2F66576"/>
    <w:lvl w:ilvl="0" w:tentative="0">
      <w:start w:val="2"/>
      <w:numFmt w:val="chineseCounting"/>
      <w:suff w:val="nothing"/>
      <w:lvlText w:val="（%1）"/>
      <w:lvlJc w:val="left"/>
      <w:rPr>
        <w:rFonts w:hint="eastAsia"/>
      </w:rPr>
    </w:lvl>
  </w:abstractNum>
  <w:abstractNum w:abstractNumId="1">
    <w:nsid w:val="F3952B33"/>
    <w:multiLevelType w:val="singleLevel"/>
    <w:tmpl w:val="F3952B33"/>
    <w:lvl w:ilvl="0" w:tentative="0">
      <w:start w:val="1"/>
      <w:numFmt w:val="chineseCounting"/>
      <w:suff w:val="nothing"/>
      <w:lvlText w:val="%1、"/>
      <w:lvlJc w:val="left"/>
      <w:rPr>
        <w:rFonts w:hint="eastAsia"/>
      </w:rPr>
    </w:lvl>
  </w:abstractNum>
  <w:abstractNum w:abstractNumId="2">
    <w:nsid w:val="02AF0D35"/>
    <w:multiLevelType w:val="singleLevel"/>
    <w:tmpl w:val="02AF0D35"/>
    <w:lvl w:ilvl="0" w:tentative="0">
      <w:start w:val="2"/>
      <w:numFmt w:val="chineseCounting"/>
      <w:suff w:val="nothing"/>
      <w:lvlText w:val="（%1）"/>
      <w:lvlJc w:val="left"/>
      <w:rPr>
        <w:rFonts w:hint="eastAsia"/>
      </w:rPr>
    </w:lvl>
  </w:abstractNum>
  <w:abstractNum w:abstractNumId="3">
    <w:nsid w:val="1462810D"/>
    <w:multiLevelType w:val="singleLevel"/>
    <w:tmpl w:val="1462810D"/>
    <w:lvl w:ilvl="0" w:tentative="0">
      <w:start w:val="10"/>
      <w:numFmt w:val="chineseCounting"/>
      <w:suff w:val="nothing"/>
      <w:lvlText w:val="%1、"/>
      <w:lvlJc w:val="left"/>
      <w:rPr>
        <w:rFonts w:hint="eastAsia"/>
      </w:rPr>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136EC"/>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0761F"/>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24AF4"/>
    <w:rsid w:val="00F74360"/>
    <w:rsid w:val="00FB462F"/>
    <w:rsid w:val="00FE16FA"/>
    <w:rsid w:val="00FE328A"/>
    <w:rsid w:val="015D1953"/>
    <w:rsid w:val="017F1C21"/>
    <w:rsid w:val="01973B02"/>
    <w:rsid w:val="05FA3FB2"/>
    <w:rsid w:val="069B6B14"/>
    <w:rsid w:val="06EB7A55"/>
    <w:rsid w:val="06F866DF"/>
    <w:rsid w:val="073C21C1"/>
    <w:rsid w:val="0A411DD2"/>
    <w:rsid w:val="0BCE5F35"/>
    <w:rsid w:val="0D4C2941"/>
    <w:rsid w:val="0E345641"/>
    <w:rsid w:val="11221309"/>
    <w:rsid w:val="11BF230C"/>
    <w:rsid w:val="13504993"/>
    <w:rsid w:val="13DA4AE7"/>
    <w:rsid w:val="14030170"/>
    <w:rsid w:val="14C179F5"/>
    <w:rsid w:val="15F65201"/>
    <w:rsid w:val="171B2A09"/>
    <w:rsid w:val="18067889"/>
    <w:rsid w:val="18D41F1C"/>
    <w:rsid w:val="19066A66"/>
    <w:rsid w:val="1A8E1C5D"/>
    <w:rsid w:val="1B8668B7"/>
    <w:rsid w:val="1CAC2531"/>
    <w:rsid w:val="1CB5210B"/>
    <w:rsid w:val="1D2A6DBE"/>
    <w:rsid w:val="1E955E76"/>
    <w:rsid w:val="1FA86C25"/>
    <w:rsid w:val="20596A3F"/>
    <w:rsid w:val="20B85736"/>
    <w:rsid w:val="21C05901"/>
    <w:rsid w:val="21C50FE9"/>
    <w:rsid w:val="22AB40D0"/>
    <w:rsid w:val="230607CE"/>
    <w:rsid w:val="235D6E32"/>
    <w:rsid w:val="23FD38E1"/>
    <w:rsid w:val="25D14936"/>
    <w:rsid w:val="26B84B96"/>
    <w:rsid w:val="28425DFF"/>
    <w:rsid w:val="28605033"/>
    <w:rsid w:val="2A9C44F6"/>
    <w:rsid w:val="2B537755"/>
    <w:rsid w:val="2B78551E"/>
    <w:rsid w:val="2B830F5E"/>
    <w:rsid w:val="2D122C90"/>
    <w:rsid w:val="2E0E2546"/>
    <w:rsid w:val="2FEB53E6"/>
    <w:rsid w:val="30302C29"/>
    <w:rsid w:val="326B0DE2"/>
    <w:rsid w:val="33CF6A55"/>
    <w:rsid w:val="35A6307A"/>
    <w:rsid w:val="36212B96"/>
    <w:rsid w:val="36561D38"/>
    <w:rsid w:val="388C682A"/>
    <w:rsid w:val="39671265"/>
    <w:rsid w:val="3A221FE5"/>
    <w:rsid w:val="3BC82ED6"/>
    <w:rsid w:val="3C4752A5"/>
    <w:rsid w:val="3D4E378B"/>
    <w:rsid w:val="3E3B2F14"/>
    <w:rsid w:val="3F941837"/>
    <w:rsid w:val="40254073"/>
    <w:rsid w:val="40902F7E"/>
    <w:rsid w:val="4096707B"/>
    <w:rsid w:val="40C65454"/>
    <w:rsid w:val="422E749C"/>
    <w:rsid w:val="426575DE"/>
    <w:rsid w:val="431E6668"/>
    <w:rsid w:val="45EA132F"/>
    <w:rsid w:val="46950BE8"/>
    <w:rsid w:val="46C2771A"/>
    <w:rsid w:val="4786325B"/>
    <w:rsid w:val="47A61E8B"/>
    <w:rsid w:val="4B791C0B"/>
    <w:rsid w:val="4C3D0B4C"/>
    <w:rsid w:val="4CD361EF"/>
    <w:rsid w:val="4CD418B9"/>
    <w:rsid w:val="4D8F769A"/>
    <w:rsid w:val="4E0374AA"/>
    <w:rsid w:val="4EDD03DE"/>
    <w:rsid w:val="4EF241DF"/>
    <w:rsid w:val="4FE33C01"/>
    <w:rsid w:val="5104602A"/>
    <w:rsid w:val="53013A6F"/>
    <w:rsid w:val="530751AB"/>
    <w:rsid w:val="533A0718"/>
    <w:rsid w:val="539F3B8E"/>
    <w:rsid w:val="544D333E"/>
    <w:rsid w:val="54773DEB"/>
    <w:rsid w:val="555D6E07"/>
    <w:rsid w:val="56B32593"/>
    <w:rsid w:val="57E22807"/>
    <w:rsid w:val="584D6926"/>
    <w:rsid w:val="59563905"/>
    <w:rsid w:val="59945DBD"/>
    <w:rsid w:val="59D96154"/>
    <w:rsid w:val="5A535AC3"/>
    <w:rsid w:val="5A5D189C"/>
    <w:rsid w:val="5AED39D6"/>
    <w:rsid w:val="5B4A044A"/>
    <w:rsid w:val="5C0F714A"/>
    <w:rsid w:val="5D2025D7"/>
    <w:rsid w:val="5DF71F82"/>
    <w:rsid w:val="5F244426"/>
    <w:rsid w:val="62621FC3"/>
    <w:rsid w:val="63B173A2"/>
    <w:rsid w:val="63FF656F"/>
    <w:rsid w:val="65355CF3"/>
    <w:rsid w:val="66FC05BE"/>
    <w:rsid w:val="67170BBD"/>
    <w:rsid w:val="67FC0AD5"/>
    <w:rsid w:val="68917F02"/>
    <w:rsid w:val="6A5A6E8B"/>
    <w:rsid w:val="6B2A4DD1"/>
    <w:rsid w:val="6D2E2CD1"/>
    <w:rsid w:val="6FE44719"/>
    <w:rsid w:val="70223CF9"/>
    <w:rsid w:val="73586C10"/>
    <w:rsid w:val="755B5E89"/>
    <w:rsid w:val="757F3C06"/>
    <w:rsid w:val="76C848B9"/>
    <w:rsid w:val="770E7C04"/>
    <w:rsid w:val="77185105"/>
    <w:rsid w:val="79F97410"/>
    <w:rsid w:val="7B0651AA"/>
    <w:rsid w:val="7BB368BD"/>
    <w:rsid w:val="7D5C7527"/>
    <w:rsid w:val="7D61134E"/>
    <w:rsid w:val="7DAC0616"/>
    <w:rsid w:val="7E2731FF"/>
    <w:rsid w:val="7EE95C57"/>
    <w:rsid w:val="7F4C660C"/>
    <w:rsid w:val="7FC75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style>
  <w:style w:type="paragraph" w:styleId="3">
    <w:name w:val="toc 5"/>
    <w:basedOn w:val="1"/>
    <w:next w:val="1"/>
    <w:qFormat/>
    <w:uiPriority w:val="0"/>
    <w:pPr>
      <w:ind w:left="1680" w:leftChars="800"/>
    </w:pPr>
    <w:rPr>
      <w:rFonts w:ascii="Times New Roman" w:hAnsi="Times New Roman"/>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semiHidden/>
    <w:unhideWhenUsed/>
    <w:qFormat/>
    <w:uiPriority w:val="99"/>
    <w:rPr>
      <w:color w:val="0000FF"/>
      <w:u w:val="single"/>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0</TotalTime>
  <ScaleCrop>false</ScaleCrop>
  <LinksUpToDate>false</LinksUpToDate>
  <CharactersWithSpaces>8418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2020-11-26T07:23:00Z</cp:lastPrinted>
  <dcterms:modified xsi:type="dcterms:W3CDTF">2021-06-03T11:01:47Z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