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ascii="方正小标宋简体" w:hAnsi="方正小标宋简体" w:eastAsia="方正小标宋简体" w:cs="方正小标宋简体"/>
          <w:sz w:val="36"/>
          <w:szCs w:val="36"/>
          <w:lang w:val="en-US" w:eastAsia="zh-CN"/>
        </w:rPr>
      </w:pPr>
      <w:bookmarkStart w:id="2" w:name="_GoBack"/>
      <w:r>
        <w:rPr>
          <w:rFonts w:hint="eastAsia" w:ascii="方正小标宋简体" w:hAnsi="方正小标宋简体" w:eastAsia="方正小标宋简体" w:cs="方正小标宋简体"/>
          <w:sz w:val="36"/>
          <w:szCs w:val="36"/>
          <w:lang w:val="en-US" w:eastAsia="zh-CN"/>
        </w:rPr>
        <w:t>蓝山县塔峰镇人民政府</w:t>
      </w:r>
      <w:bookmarkEnd w:id="2"/>
      <w:r>
        <w:rPr>
          <w:rFonts w:hint="eastAsia" w:ascii="方正小标宋简体" w:hAnsi="方正小标宋简体" w:eastAsia="方正小标宋简体" w:cs="方正小标宋简体"/>
          <w:sz w:val="36"/>
          <w:szCs w:val="36"/>
        </w:rPr>
        <w:t>2019年度部门决算</w:t>
      </w:r>
      <w:r>
        <w:rPr>
          <w:rFonts w:hint="eastAsia" w:ascii="方正小标宋简体" w:hAnsi="方正小标宋简体" w:eastAsia="方正小标宋简体" w:cs="方正小标宋简体"/>
          <w:sz w:val="36"/>
          <w:szCs w:val="36"/>
          <w:lang w:val="en-US" w:eastAsia="zh-CN"/>
        </w:rPr>
        <w:t>公开</w:t>
      </w:r>
    </w:p>
    <w:p>
      <w:pPr>
        <w:pStyle w:val="10"/>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pStyle w:val="10"/>
        <w:keepNext w:val="0"/>
        <w:keepLines w:val="0"/>
        <w:pageBreakBefore w:val="0"/>
        <w:widowControl w:val="0"/>
        <w:kinsoku/>
        <w:wordWrap/>
        <w:overflowPunct/>
        <w:topLinePunct w:val="0"/>
        <w:bidi w:val="0"/>
        <w:snapToGrid/>
        <w:spacing w:line="480"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第一部分</w:t>
      </w:r>
      <w:r>
        <w:rPr>
          <w:rFonts w:hint="eastAsia" w:ascii="仿宋_GB2312" w:hAnsi="仿宋_GB2312" w:eastAsia="仿宋_GB2312" w:cs="仿宋_GB2312"/>
          <w:b/>
          <w:sz w:val="32"/>
          <w:szCs w:val="32"/>
          <w:u w:val="none"/>
          <w:lang w:val="en-US" w:eastAsia="zh-CN"/>
        </w:rPr>
        <w:t>单位</w:t>
      </w:r>
      <w:r>
        <w:rPr>
          <w:rFonts w:hint="eastAsia" w:ascii="仿宋_GB2312" w:hAnsi="仿宋_GB2312" w:eastAsia="仿宋_GB2312" w:cs="仿宋_GB2312"/>
          <w:b/>
          <w:sz w:val="32"/>
          <w:szCs w:val="32"/>
        </w:rPr>
        <w:t>概况</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0"/>
        <w:keepNext w:val="0"/>
        <w:keepLines w:val="0"/>
        <w:pageBreakBefore w:val="0"/>
        <w:widowControl w:val="0"/>
        <w:kinsoku/>
        <w:wordWrap/>
        <w:overflowPunct/>
        <w:topLinePunct w:val="0"/>
        <w:bidi w:val="0"/>
        <w:snapToGrid/>
        <w:spacing w:line="480"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第二部分2019年度部门决算表</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第三部分2019年度部门决算情况说明</w:t>
      </w:r>
    </w:p>
    <w:p>
      <w:pPr>
        <w:pStyle w:val="10"/>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bidi w:val="0"/>
        <w:snapToGrid/>
        <w:spacing w:line="480" w:lineRule="exact"/>
        <w:ind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十、其他重要事项情况说明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第四部分名词解释</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第五部分附件</w:t>
      </w:r>
    </w:p>
    <w:p>
      <w:pPr>
        <w:keepNext w:val="0"/>
        <w:keepLines w:val="0"/>
        <w:pageBreakBefore w:val="0"/>
        <w:widowControl w:val="0"/>
        <w:kinsoku/>
        <w:wordWrap/>
        <w:overflowPunct/>
        <w:topLinePunct w:val="0"/>
        <w:bidi w:val="0"/>
        <w:snapToGrid/>
        <w:spacing w:line="480" w:lineRule="exact"/>
        <w:jc w:val="center"/>
        <w:textAlignment w:val="auto"/>
        <w:outlineLvl w:val="9"/>
        <w:rPr>
          <w:rFonts w:ascii="黑体" w:hAnsi="黑体" w:eastAsia="黑体"/>
          <w:b/>
          <w:bCs/>
          <w:sz w:val="32"/>
          <w:szCs w:val="32"/>
        </w:rPr>
      </w:pPr>
      <w:r>
        <w:rPr>
          <w:rFonts w:hint="eastAsia" w:ascii="仿宋_GB2312" w:hAnsi="仿宋_GB2312" w:eastAsia="仿宋_GB2312" w:cs="仿宋_GB2312"/>
          <w:b/>
          <w:bCs/>
          <w:sz w:val="32"/>
          <w:szCs w:val="32"/>
        </w:rPr>
        <w:t>第一部分单位概况</w:t>
      </w: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主要工作职责是</w:t>
      </w:r>
      <w:r>
        <w:rPr>
          <w:rFonts w:hint="eastAsia" w:ascii="仿宋_GB2312" w:hAnsi="仿宋_GB2312" w:eastAsia="仿宋_GB2312" w:cs="仿宋_GB2312"/>
          <w:color w:val="333333"/>
          <w:sz w:val="32"/>
          <w:szCs w:val="32"/>
          <w:shd w:val="clear" w:color="auto" w:fill="FFFFFF"/>
        </w:rPr>
        <w:t>（1）保证党的路线、</w:t>
      </w:r>
      <w:r>
        <w:rPr>
          <w:rFonts w:hint="eastAsia" w:ascii="仿宋_GB2312" w:hAnsi="仿宋_GB2312" w:eastAsia="仿宋_GB2312" w:cs="仿宋_GB2312"/>
          <w:sz w:val="32"/>
          <w:szCs w:val="32"/>
        </w:rPr>
        <w:t>方针</w:t>
      </w:r>
      <w:r>
        <w:rPr>
          <w:rFonts w:hint="eastAsia" w:ascii="仿宋_GB2312" w:hAnsi="仿宋_GB2312" w:eastAsia="仿宋_GB2312" w:cs="仿宋_GB2312"/>
          <w:color w:val="333333"/>
          <w:sz w:val="32"/>
          <w:szCs w:val="32"/>
          <w:shd w:val="clear" w:color="auto" w:fill="FFFFFF"/>
        </w:rPr>
        <w:t>、政策的坚决贯彻执行。（2）保证监督职能。（3）教育和管理职能。（4）服从和服务于经济建设的职能。（5）负责抓好本乡 党建工作、群团工作、精神文明建设工作、新闻宣传工作。(6)</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333333"/>
          <w:sz w:val="32"/>
          <w:szCs w:val="32"/>
          <w:shd w:val="clear" w:color="auto" w:fill="FFFFFF"/>
        </w:rPr>
        <w:t>抓重点项目工作.（7）完成县委、</w:t>
      </w:r>
      <w:r>
        <w:rPr>
          <w:rFonts w:hint="eastAsia" w:ascii="仿宋_GB2312" w:hAnsi="仿宋_GB2312" w:eastAsia="仿宋_GB2312" w:cs="仿宋_GB2312"/>
          <w:sz w:val="32"/>
          <w:szCs w:val="32"/>
          <w:shd w:val="clear" w:color="auto" w:fill="FFFFFF"/>
        </w:rPr>
        <w:t>县政府</w:t>
      </w:r>
      <w:r>
        <w:rPr>
          <w:rFonts w:hint="eastAsia" w:ascii="仿宋_GB2312" w:hAnsi="仿宋_GB2312" w:eastAsia="仿宋_GB2312" w:cs="仿宋_GB2312"/>
          <w:color w:val="333333"/>
          <w:sz w:val="32"/>
          <w:szCs w:val="32"/>
          <w:shd w:val="clear" w:color="auto" w:fill="FFFFFF"/>
        </w:rPr>
        <w:t>交给的其他工作任务。</w:t>
      </w:r>
      <w:r>
        <w:rPr>
          <w:rFonts w:hint="eastAsia" w:ascii="仿宋_GB2312" w:hAnsi="仿宋_GB2312" w:eastAsia="仿宋_GB2312" w:cs="仿宋_GB2312"/>
          <w:sz w:val="32"/>
          <w:szCs w:val="32"/>
        </w:rPr>
        <w:t xml:space="preserve"> </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（一）内设机构设置。</w:t>
      </w:r>
    </w:p>
    <w:p>
      <w:pPr>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color w:val="000000"/>
          <w:sz w:val="32"/>
          <w:szCs w:val="32"/>
          <w:shd w:val="clear" w:color="auto" w:fill="FFFFFF"/>
        </w:rPr>
        <w:t>本镇下辖党政办公室、计生办公室、征地拆迁办公室、农业办公室、扶贫办公室、安全生产办公室、信访办公室、政法办公室。全镇实有人数</w:t>
      </w:r>
      <w:r>
        <w:rPr>
          <w:rFonts w:hint="eastAsia" w:ascii="仿宋_GB2312" w:hAnsi="仿宋_GB2312" w:eastAsia="仿宋_GB2312" w:cs="仿宋_GB2312"/>
          <w:color w:val="000000"/>
          <w:sz w:val="32"/>
          <w:szCs w:val="32"/>
          <w:shd w:val="clear" w:color="auto" w:fill="FFFFFF"/>
          <w:lang w:val="en-US" w:eastAsia="zh-CN"/>
        </w:rPr>
        <w:t>325</w:t>
      </w:r>
      <w:r>
        <w:rPr>
          <w:rFonts w:hint="eastAsia" w:ascii="仿宋_GB2312" w:hAnsi="仿宋_GB2312" w:eastAsia="仿宋_GB2312" w:cs="仿宋_GB2312"/>
          <w:color w:val="000000"/>
          <w:sz w:val="32"/>
          <w:szCs w:val="32"/>
          <w:shd w:val="clear" w:color="auto" w:fill="FFFFFF"/>
        </w:rPr>
        <w:t>人，其中在职</w:t>
      </w:r>
      <w:r>
        <w:rPr>
          <w:rFonts w:hint="eastAsia" w:ascii="仿宋_GB2312" w:hAnsi="仿宋_GB2312" w:eastAsia="仿宋_GB2312" w:cs="仿宋_GB2312"/>
          <w:color w:val="000000"/>
          <w:sz w:val="32"/>
          <w:szCs w:val="32"/>
          <w:shd w:val="clear" w:color="auto" w:fill="FFFFFF"/>
          <w:lang w:val="en-US" w:eastAsia="zh-CN"/>
        </w:rPr>
        <w:t>200</w:t>
      </w:r>
      <w:r>
        <w:rPr>
          <w:rFonts w:hint="eastAsia" w:ascii="仿宋_GB2312" w:hAnsi="仿宋_GB2312" w:eastAsia="仿宋_GB2312" w:cs="仿宋_GB2312"/>
          <w:color w:val="000000"/>
          <w:sz w:val="32"/>
          <w:szCs w:val="32"/>
          <w:shd w:val="clear" w:color="auto" w:fill="FFFFFF"/>
        </w:rPr>
        <w:t>人，退休</w:t>
      </w:r>
      <w:r>
        <w:rPr>
          <w:rFonts w:hint="eastAsia" w:ascii="仿宋_GB2312" w:hAnsi="仿宋_GB2312" w:eastAsia="仿宋_GB2312" w:cs="仿宋_GB2312"/>
          <w:color w:val="000000"/>
          <w:sz w:val="32"/>
          <w:szCs w:val="32"/>
          <w:shd w:val="clear" w:color="auto" w:fill="FFFFFF"/>
          <w:lang w:val="en-US" w:eastAsia="zh-CN"/>
        </w:rPr>
        <w:t>112</w:t>
      </w:r>
      <w:r>
        <w:rPr>
          <w:rFonts w:hint="eastAsia" w:ascii="仿宋_GB2312" w:hAnsi="仿宋_GB2312" w:eastAsia="仿宋_GB2312" w:cs="仿宋_GB2312"/>
          <w:color w:val="000000"/>
          <w:sz w:val="32"/>
          <w:szCs w:val="32"/>
          <w:shd w:val="clear" w:color="auto" w:fill="FFFFFF"/>
        </w:rPr>
        <w:t>人，临时人员</w:t>
      </w:r>
      <w:r>
        <w:rPr>
          <w:rFonts w:hint="eastAsia" w:ascii="仿宋_GB2312" w:hAnsi="仿宋_GB2312" w:eastAsia="仿宋_GB2312" w:cs="仿宋_GB2312"/>
          <w:color w:val="000000"/>
          <w:sz w:val="32"/>
          <w:szCs w:val="32"/>
          <w:shd w:val="clear" w:color="auto" w:fill="FFFFFF"/>
          <w:lang w:val="en-US" w:eastAsia="zh-CN"/>
        </w:rPr>
        <w:t>13</w:t>
      </w:r>
      <w:r>
        <w:rPr>
          <w:rFonts w:hint="eastAsia" w:ascii="仿宋_GB2312" w:hAnsi="仿宋_GB2312" w:eastAsia="仿宋_GB2312" w:cs="仿宋_GB2312"/>
          <w:color w:val="000000"/>
          <w:sz w:val="32"/>
          <w:szCs w:val="32"/>
          <w:shd w:val="clear" w:color="auto" w:fill="FFFFFF"/>
        </w:rPr>
        <w:t>人；车辆编制数</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台。</w:t>
      </w:r>
    </w:p>
    <w:p>
      <w:pPr>
        <w:jc w:val="left"/>
        <w:rPr>
          <w:rFonts w:hint="eastAsia" w:eastAsia="仿宋_GB2312"/>
          <w:sz w:val="72"/>
          <w:szCs w:val="72"/>
          <w:lang w:val="en-US" w:eastAsia="zh-CN"/>
        </w:rPr>
      </w:pPr>
      <w:r>
        <w:rPr>
          <w:rFonts w:hint="eastAsia" w:ascii="仿宋_GB2312" w:hAnsi="仿宋_GB2312" w:eastAsia="仿宋_GB2312" w:cs="仿宋_GB2312"/>
          <w:bCs/>
          <w:kern w:val="0"/>
          <w:sz w:val="32"/>
          <w:szCs w:val="32"/>
        </w:rPr>
        <w:t>（二）决算单位构成。</w:t>
      </w:r>
      <w:r>
        <w:rPr>
          <w:rFonts w:hint="eastAsia" w:ascii="仿宋_GB2312" w:hAnsi="仿宋_GB2312" w:eastAsia="仿宋_GB2312" w:cs="仿宋_GB2312"/>
          <w:bCs/>
          <w:kern w:val="0"/>
          <w:sz w:val="32"/>
          <w:szCs w:val="32"/>
          <w:lang w:val="en-US" w:eastAsia="zh-CN"/>
        </w:rPr>
        <w:t>本</w:t>
      </w:r>
      <w:r>
        <w:rPr>
          <w:rFonts w:hint="eastAsia" w:ascii="仿宋_GB2312" w:hAnsi="仿宋_GB2312" w:eastAsia="仿宋_GB2312" w:cs="仿宋_GB2312"/>
          <w:bCs/>
          <w:kern w:val="0"/>
          <w:sz w:val="32"/>
          <w:szCs w:val="32"/>
        </w:rPr>
        <w:t>单位2019年部门决算汇总公开单位构成包括：</w:t>
      </w:r>
      <w:r>
        <w:rPr>
          <w:rFonts w:hint="eastAsia" w:ascii="仿宋_GB2312" w:hAnsi="仿宋_GB2312" w:eastAsia="仿宋_GB2312" w:cs="仿宋_GB2312"/>
          <w:bCs/>
          <w:kern w:val="0"/>
          <w:sz w:val="32"/>
          <w:szCs w:val="32"/>
          <w:lang w:eastAsia="zh-CN"/>
        </w:rPr>
        <w:t>塔峰街道办、舜源街道办和南平街道办。</w:t>
      </w:r>
    </w:p>
    <w:p>
      <w:pPr>
        <w:jc w:val="left"/>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第二部分部门决算表</w:t>
      </w: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塔峰镇人民政府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7"/>
        <w:tblW w:w="14061" w:type="dxa"/>
        <w:jc w:val="center"/>
        <w:tblInd w:w="0" w:type="dxa"/>
        <w:tblLayout w:type="fixed"/>
        <w:tblCellMar>
          <w:top w:w="0" w:type="dxa"/>
          <w:left w:w="108" w:type="dxa"/>
          <w:bottom w:w="0" w:type="dxa"/>
          <w:right w:w="108" w:type="dxa"/>
        </w:tblCellMar>
      </w:tblPr>
      <w:tblGrid>
        <w:gridCol w:w="4932"/>
        <w:gridCol w:w="702"/>
        <w:gridCol w:w="1224"/>
        <w:gridCol w:w="4820"/>
        <w:gridCol w:w="702"/>
        <w:gridCol w:w="1681"/>
      </w:tblGrid>
      <w:tr>
        <w:tblPrEx>
          <w:tblLayout w:type="fixed"/>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2067.75</w:t>
            </w: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九</w:t>
            </w:r>
            <w:r>
              <w:rPr>
                <w:rFonts w:hint="eastAsia"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卫生健康支出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158</w:t>
            </w: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十二、农林水支出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1000</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3225.75</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3225.75</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塔峰镇人民政府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3813" w:type="dxa"/>
        <w:jc w:val="center"/>
        <w:tblInd w:w="93" w:type="dxa"/>
        <w:tblLayout w:type="fixed"/>
        <w:tblCellMar>
          <w:top w:w="0" w:type="dxa"/>
          <w:left w:w="108" w:type="dxa"/>
          <w:bottom w:w="0" w:type="dxa"/>
          <w:right w:w="108" w:type="dxa"/>
        </w:tblCellMar>
      </w:tblPr>
      <w:tblGrid>
        <w:gridCol w:w="1197"/>
        <w:gridCol w:w="1690"/>
        <w:gridCol w:w="1174"/>
        <w:gridCol w:w="1595"/>
        <w:gridCol w:w="1676"/>
        <w:gridCol w:w="1382"/>
        <w:gridCol w:w="1412"/>
        <w:gridCol w:w="1676"/>
        <w:gridCol w:w="2011"/>
      </w:tblGrid>
      <w:tr>
        <w:tblPrEx>
          <w:tblLayout w:type="fixed"/>
          <w:tblCellMar>
            <w:top w:w="0" w:type="dxa"/>
            <w:left w:w="108" w:type="dxa"/>
            <w:bottom w:w="0" w:type="dxa"/>
            <w:right w:w="108" w:type="dxa"/>
          </w:tblCellMar>
        </w:tblPrEx>
        <w:trPr>
          <w:trHeight w:val="450" w:hRule="atLeast"/>
          <w:jc w:val="center"/>
        </w:trPr>
        <w:tc>
          <w:tcPr>
            <w:tcW w:w="2887"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174"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Layout w:type="fixed"/>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6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17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169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7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2887"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1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Layout w:type="fixed"/>
          <w:tblCellMar>
            <w:top w:w="0" w:type="dxa"/>
            <w:left w:w="108" w:type="dxa"/>
            <w:bottom w:w="0" w:type="dxa"/>
            <w:right w:w="108" w:type="dxa"/>
          </w:tblCellMar>
        </w:tblPrEx>
        <w:trPr>
          <w:trHeight w:val="450" w:hRule="atLeast"/>
          <w:jc w:val="center"/>
        </w:trPr>
        <w:tc>
          <w:tcPr>
            <w:tcW w:w="2887" w:type="dxa"/>
            <w:gridSpan w:val="2"/>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1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2010301</w:t>
            </w:r>
          </w:p>
        </w:tc>
        <w:tc>
          <w:tcPr>
            <w:tcW w:w="169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政府办公厅</w:t>
            </w:r>
          </w:p>
        </w:tc>
        <w:tc>
          <w:tcPr>
            <w:tcW w:w="11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1928.37</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1928.37</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5010650</w:t>
            </w:r>
          </w:p>
        </w:tc>
        <w:tc>
          <w:tcPr>
            <w:tcW w:w="169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财政事务</w:t>
            </w:r>
          </w:p>
        </w:tc>
        <w:tc>
          <w:tcPr>
            <w:tcW w:w="11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139.38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139.38</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2100799</w:t>
            </w:r>
          </w:p>
        </w:tc>
        <w:tc>
          <w:tcPr>
            <w:tcW w:w="169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计划生育事务</w:t>
            </w:r>
          </w:p>
        </w:tc>
        <w:tc>
          <w:tcPr>
            <w:tcW w:w="11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158</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2130101</w:t>
            </w:r>
          </w:p>
        </w:tc>
        <w:tc>
          <w:tcPr>
            <w:tcW w:w="1690"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农林水支出</w:t>
            </w:r>
          </w:p>
        </w:tc>
        <w:tc>
          <w:tcPr>
            <w:tcW w:w="11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1000</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1000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9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74"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9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74"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部门：  </w:t>
      </w:r>
      <w:r>
        <w:rPr>
          <w:rFonts w:hint="eastAsia" w:ascii="Times New Roman" w:hAnsi="Times New Roman" w:eastAsia="仿宋_GB2312" w:cs="Times New Roman"/>
          <w:color w:val="000000"/>
          <w:kern w:val="0"/>
          <w:szCs w:val="21"/>
          <w:lang w:eastAsia="zh-CN"/>
        </w:rPr>
        <w:t>塔峰镇人民政府</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7"/>
        <w:tblW w:w="14089" w:type="dxa"/>
        <w:jc w:val="center"/>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788"/>
        <w:gridCol w:w="1236"/>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89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236"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78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23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78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3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89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236"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89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36"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2010301</w:t>
            </w:r>
          </w:p>
        </w:tc>
        <w:tc>
          <w:tcPr>
            <w:tcW w:w="1788"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政府办公厅</w:t>
            </w:r>
          </w:p>
        </w:tc>
        <w:tc>
          <w:tcPr>
            <w:tcW w:w="1236"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1928.37</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1928.37</w:t>
            </w: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5010650</w:t>
            </w:r>
          </w:p>
        </w:tc>
        <w:tc>
          <w:tcPr>
            <w:tcW w:w="1788"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财政事务</w:t>
            </w:r>
          </w:p>
        </w:tc>
        <w:tc>
          <w:tcPr>
            <w:tcW w:w="1236"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139.38</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139.38</w:t>
            </w: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2100799</w:t>
            </w:r>
          </w:p>
        </w:tc>
        <w:tc>
          <w:tcPr>
            <w:tcW w:w="1788"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计划生育事务</w:t>
            </w:r>
          </w:p>
        </w:tc>
        <w:tc>
          <w:tcPr>
            <w:tcW w:w="1236"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158</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158</w:t>
            </w: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2130101</w:t>
            </w:r>
          </w:p>
        </w:tc>
        <w:tc>
          <w:tcPr>
            <w:tcW w:w="1788"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农林水支出</w:t>
            </w:r>
          </w:p>
        </w:tc>
        <w:tc>
          <w:tcPr>
            <w:tcW w:w="1236"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1000</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1000</w:t>
            </w: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88"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36"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88"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36"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塔峰镇人民政府</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7"/>
        <w:tblW w:w="1465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5354"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3" w:hRule="atLeast"/>
          <w:jc w:val="center"/>
        </w:trPr>
        <w:tc>
          <w:tcPr>
            <w:tcW w:w="2994"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2067.75</w:t>
            </w: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2067.75</w:t>
            </w: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九</w:t>
            </w:r>
            <w:r>
              <w:rPr>
                <w:rFonts w:hint="eastAsia"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卫生健康支出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158</w:t>
            </w: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158</w:t>
            </w: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十二、农林水支出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1000</w:t>
            </w: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1000</w:t>
            </w:r>
            <w:r>
              <w:rPr>
                <w:rFonts w:ascii="Times New Roman" w:hAnsi="Times New Roman" w:eastAsia="仿宋_GB2312" w:cs="Times New Roman"/>
                <w:kern w:val="0"/>
                <w:szCs w:val="21"/>
              </w:rPr>
              <w:t>　</w:t>
            </w:r>
          </w:p>
        </w:tc>
        <w:tc>
          <w:tcPr>
            <w:tcW w:w="157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塔峰镇人民政府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Ind w:w="0" w:type="dxa"/>
        <w:tblLayout w:type="fixed"/>
        <w:tblCellMar>
          <w:top w:w="0" w:type="dxa"/>
          <w:left w:w="108" w:type="dxa"/>
          <w:bottom w:w="0" w:type="dxa"/>
          <w:right w:w="108" w:type="dxa"/>
        </w:tblCellMar>
      </w:tblPr>
      <w:tblGrid>
        <w:gridCol w:w="1200"/>
        <w:gridCol w:w="3527"/>
        <w:gridCol w:w="3000"/>
        <w:gridCol w:w="3492"/>
        <w:gridCol w:w="3000"/>
      </w:tblGrid>
      <w:tr>
        <w:tblPrEx>
          <w:tblLayout w:type="fixed"/>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Layout w:type="fixed"/>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Layout w:type="fixed"/>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3225.75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3225.75</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2010301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政府办公厅</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1928.37</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1928.37</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5010650</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财政事务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139.38</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139.38</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2100799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计划生育事务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158</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158</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2130101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农林水支出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1000</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1000</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塔峰镇人民政府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5900" w:type="dxa"/>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Layout w:type="fixed"/>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tcPr>
          <w:p>
            <w:pPr>
              <w:widowControl/>
              <w:tabs>
                <w:tab w:val="left" w:pos="384"/>
              </w:tabs>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1720.75</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805</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725</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160</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408</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150</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159.68</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40</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15.9</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198.41</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11</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5</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700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112.01</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101.75</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80</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50</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24</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50</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tcPr>
          <w:p>
            <w:pPr>
              <w:widowControl/>
              <w:rPr>
                <w:rFonts w:hint="eastAsia" w:ascii="Times New Roman" w:hAnsi="Times New Roman" w:eastAsia="宋体" w:cs="Times New Roman"/>
                <w:color w:val="000000"/>
                <w:kern w:val="0"/>
                <w:sz w:val="18"/>
                <w:szCs w:val="18"/>
                <w:lang w:val="en-US" w:eastAsia="zh-CN"/>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lang w:val="en-US" w:eastAsia="zh-CN"/>
              </w:rPr>
              <w:t>38</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tcPr>
          <w:p>
            <w:pPr>
              <w:widowControl/>
              <w:rPr>
                <w:rFonts w:hint="eastAsia" w:ascii="Times New Roman" w:hAnsi="Times New Roman" w:eastAsia="宋体" w:cs="Times New Roman"/>
                <w:color w:val="000000"/>
                <w:kern w:val="0"/>
                <w:sz w:val="18"/>
                <w:szCs w:val="18"/>
                <w:lang w:val="en-US" w:eastAsia="zh-CN"/>
              </w:rPr>
            </w:pPr>
          </w:p>
        </w:tc>
        <w:tc>
          <w:tcPr>
            <w:tcW w:w="1110" w:type="dxa"/>
            <w:tcBorders>
              <w:top w:val="single" w:color="auto" w:sz="8" w:space="0"/>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tcPr>
          <w:p>
            <w:pPr>
              <w:widowControl/>
              <w:rPr>
                <w:rFonts w:hint="eastAsia" w:ascii="Times New Roman" w:hAnsi="Times New Roman" w:eastAsia="宋体" w:cs="Times New Roman"/>
                <w:color w:val="000000"/>
                <w:kern w:val="0"/>
                <w:sz w:val="18"/>
                <w:szCs w:val="18"/>
                <w:lang w:val="en-US" w:eastAsia="zh-CN"/>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lang w:val="en-US" w:eastAsia="zh-CN"/>
              </w:rPr>
              <w:t>75</w:t>
            </w:r>
          </w:p>
        </w:tc>
        <w:tc>
          <w:tcPr>
            <w:tcW w:w="1076" w:type="dxa"/>
            <w:tcBorders>
              <w:top w:val="single" w:color="auto" w:sz="8" w:space="0"/>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tcPr>
          <w:p>
            <w:pPr>
              <w:widowControl/>
              <w:rPr>
                <w:rFonts w:hint="eastAsia" w:ascii="Times New Roman" w:hAnsi="Times New Roman" w:eastAsia="宋体" w:cs="Times New Roman"/>
                <w:color w:val="000000"/>
                <w:kern w:val="0"/>
                <w:sz w:val="18"/>
                <w:szCs w:val="18"/>
                <w:lang w:val="en-US" w:eastAsia="zh-CN"/>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lang w:val="en-US" w:eastAsia="zh-CN"/>
              </w:rPr>
              <w:t>100</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Times New Roman" w:hAnsi="Times New Roman" w:eastAsia="宋体" w:cs="Times New Roman"/>
                <w:color w:val="000000"/>
                <w:kern w:val="0"/>
                <w:sz w:val="18"/>
                <w:szCs w:val="18"/>
                <w:lang w:val="en-US" w:eastAsia="zh-CN"/>
              </w:rPr>
            </w:pPr>
            <w:r>
              <w:rPr>
                <w:rFonts w:hint="eastAsia" w:ascii="Times New Roman" w:hAnsi="Times New Roman" w:eastAsia="宋体" w:cs="Times New Roman"/>
                <w:color w:val="000000"/>
                <w:kern w:val="0"/>
                <w:sz w:val="18"/>
                <w:szCs w:val="18"/>
                <w:lang w:val="en-US" w:eastAsia="zh-CN"/>
              </w:rPr>
              <w:t>1720.75</w:t>
            </w:r>
          </w:p>
        </w:tc>
        <w:tc>
          <w:tcPr>
            <w:tcW w:w="9733" w:type="dxa"/>
            <w:gridSpan w:val="5"/>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1505</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塔峰镇人民政府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38</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24</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塔峰镇人民政府</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keepNext w:val="0"/>
        <w:keepLines w:val="0"/>
        <w:pageBreakBefore w:val="0"/>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第三部分2019年度部门决算情况说明</w:t>
      </w:r>
    </w:p>
    <w:p>
      <w:pPr>
        <w:keepNext w:val="0"/>
        <w:keepLines w:val="0"/>
        <w:pageBreakBefore w:val="0"/>
        <w:widowControl/>
        <w:numPr>
          <w:ilvl w:val="0"/>
          <w:numId w:val="2"/>
        </w:numPr>
        <w:kinsoku/>
        <w:wordWrap/>
        <w:overflowPunct/>
        <w:topLinePunct w:val="0"/>
        <w:bidi w:val="0"/>
        <w:snapToGrid/>
        <w:spacing w:beforeAutospacing="0" w:afterAutospacing="0" w:line="560" w:lineRule="atLeas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收入支出决算总体情况说明</w:t>
      </w:r>
    </w:p>
    <w:p>
      <w:pPr>
        <w:pStyle w:val="10"/>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2019年度</w:t>
      </w:r>
      <w:r>
        <w:rPr>
          <w:rFonts w:hint="eastAsia" w:ascii="仿宋_GB2312" w:hAnsi="仿宋_GB2312" w:eastAsia="仿宋_GB2312" w:cs="仿宋_GB2312"/>
          <w:sz w:val="32"/>
          <w:szCs w:val="32"/>
          <w:lang w:val="en-US" w:eastAsia="zh-CN"/>
        </w:rPr>
        <w:t>收、支</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万元。与2018年相比，增加（减少）</w:t>
      </w:r>
      <w:r>
        <w:rPr>
          <w:rFonts w:hint="eastAsia" w:ascii="仿宋_GB2312" w:hAnsi="仿宋_GB2312" w:eastAsia="仿宋_GB2312" w:cs="仿宋_GB2312"/>
          <w:sz w:val="32"/>
          <w:szCs w:val="32"/>
          <w:lang w:val="en-US" w:eastAsia="zh-CN"/>
        </w:rPr>
        <w:t>102.75</w:t>
      </w:r>
      <w:r>
        <w:rPr>
          <w:rFonts w:hint="eastAsia" w:ascii="仿宋_GB2312" w:hAnsi="仿宋_GB2312" w:eastAsia="仿宋_GB2312" w:cs="仿宋_GB2312"/>
          <w:sz w:val="32"/>
          <w:szCs w:val="32"/>
        </w:rPr>
        <w:t>万元，增长（减少）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人员经费增加。</w:t>
      </w:r>
    </w:p>
    <w:p>
      <w:pPr>
        <w:pStyle w:val="10"/>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二、收入决算情况说明</w:t>
      </w:r>
    </w:p>
    <w:p>
      <w:pPr>
        <w:pStyle w:val="10"/>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本年收入合计</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10"/>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三、支出决算情况说明</w:t>
      </w:r>
    </w:p>
    <w:p>
      <w:pPr>
        <w:pStyle w:val="10"/>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0"/>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四、财政拨款收入支出决算总体情况说明</w:t>
      </w:r>
    </w:p>
    <w:p>
      <w:pPr>
        <w:pStyle w:val="10"/>
        <w:keepNext w:val="0"/>
        <w:keepLines w:val="0"/>
        <w:pageBreakBefore w:val="0"/>
        <w:kinsoku/>
        <w:wordWrap/>
        <w:overflowPunct/>
        <w:topLinePunct w:val="0"/>
        <w:bidi w:val="0"/>
        <w:snapToGrid/>
        <w:spacing w:beforeAutospacing="0" w:afterAutospacing="0" w:line="560" w:lineRule="atLeas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2019年度财政拨款</w:t>
      </w:r>
      <w:r>
        <w:rPr>
          <w:rFonts w:hint="eastAsia" w:ascii="仿宋_GB2312" w:hAnsi="仿宋_GB2312" w:eastAsia="仿宋_GB2312" w:cs="仿宋_GB2312"/>
          <w:sz w:val="32"/>
          <w:szCs w:val="32"/>
          <w:lang w:val="en-US" w:eastAsia="zh-CN"/>
        </w:rPr>
        <w:t>收、支</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万元，与2018年相比，增加</w:t>
      </w:r>
      <w:r>
        <w:rPr>
          <w:rFonts w:hint="eastAsia" w:ascii="仿宋_GB2312" w:hAnsi="仿宋_GB2312" w:eastAsia="仿宋_GB2312" w:cs="仿宋_GB2312"/>
          <w:sz w:val="32"/>
          <w:szCs w:val="32"/>
          <w:lang w:val="en-US" w:eastAsia="zh-CN"/>
        </w:rPr>
        <w:t>102.75</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人员工资的增加。</w:t>
      </w:r>
    </w:p>
    <w:p>
      <w:pPr>
        <w:pStyle w:val="10"/>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五、一般公共预算财政拨款支出决算情况说明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（一）财政拨款支出决算总体情况</w:t>
      </w:r>
    </w:p>
    <w:p>
      <w:pPr>
        <w:pStyle w:val="10"/>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2019年度财政拨款支出</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%，与2018年相比，财政拨款支出增加</w:t>
      </w:r>
      <w:r>
        <w:rPr>
          <w:rFonts w:hint="eastAsia" w:ascii="仿宋_GB2312" w:hAnsi="仿宋_GB2312" w:eastAsia="仿宋_GB2312" w:cs="仿宋_GB2312"/>
          <w:sz w:val="32"/>
          <w:szCs w:val="32"/>
          <w:lang w:val="en-US" w:eastAsia="zh-CN"/>
        </w:rPr>
        <w:t>102.75</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人员工资的增加。</w:t>
      </w:r>
    </w:p>
    <w:p>
      <w:pPr>
        <w:pStyle w:val="10"/>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（二）财政拨款支出决算结构情况</w:t>
      </w:r>
    </w:p>
    <w:p>
      <w:pPr>
        <w:pStyle w:val="10"/>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2019年度财政拨款支</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万元，主要用于以下方面：一般公共服务支出</w:t>
      </w:r>
      <w:r>
        <w:rPr>
          <w:rFonts w:hint="eastAsia" w:ascii="仿宋_GB2312" w:hAnsi="仿宋_GB2312" w:eastAsia="仿宋_GB2312" w:cs="仿宋_GB2312"/>
          <w:sz w:val="32"/>
          <w:szCs w:val="32"/>
          <w:lang w:val="en-US" w:eastAsia="zh-CN"/>
        </w:rPr>
        <w:t>2067.75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158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，农林水支出</w:t>
      </w:r>
      <w:r>
        <w:rPr>
          <w:rFonts w:hint="eastAsia" w:ascii="仿宋_GB2312" w:hAnsi="仿宋_GB2312" w:eastAsia="仿宋_GB2312" w:cs="仿宋_GB2312"/>
          <w:sz w:val="32"/>
          <w:szCs w:val="32"/>
          <w:lang w:val="en-US" w:eastAsia="zh-CN"/>
        </w:rPr>
        <w:t>1000万元，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10"/>
        <w:keepNext w:val="0"/>
        <w:keepLines w:val="0"/>
        <w:pageBreakBefore w:val="0"/>
        <w:kinsoku/>
        <w:wordWrap/>
        <w:overflowPunct/>
        <w:topLinePunct w:val="0"/>
        <w:bidi w:val="0"/>
        <w:snapToGrid/>
        <w:spacing w:beforeAutospacing="0" w:afterAutospacing="0" w:line="560" w:lineRule="atLeast"/>
        <w:ind w:firstLine="800" w:firstLineChars="25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（三）财政拨款支出决算具体情况</w:t>
      </w:r>
    </w:p>
    <w:p>
      <w:pPr>
        <w:pStyle w:val="10"/>
        <w:keepNext w:val="0"/>
        <w:keepLines w:val="0"/>
        <w:pageBreakBefore w:val="0"/>
        <w:kinsoku/>
        <w:wordWrap/>
        <w:overflowPunct/>
        <w:topLinePunct w:val="0"/>
        <w:bidi w:val="0"/>
        <w:snapToGrid/>
        <w:spacing w:beforeAutospacing="0" w:afterAutospacing="0" w:line="560" w:lineRule="atLeas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2019年度财政拨款支出年初预算数为</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万元，支出决算数为</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w:t>
      </w:r>
    </w:p>
    <w:p>
      <w:pPr>
        <w:pStyle w:val="10"/>
        <w:keepNext w:val="0"/>
        <w:keepLines w:val="0"/>
        <w:pageBreakBefore w:val="0"/>
        <w:kinsoku/>
        <w:wordWrap/>
        <w:overflowPunct/>
        <w:topLinePunct w:val="0"/>
        <w:bidi w:val="0"/>
        <w:snapToGrid/>
        <w:spacing w:beforeAutospacing="0" w:afterAutospacing="0" w:line="560" w:lineRule="atLeas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1、一般公共服务（类）</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 xml:space="preserve">0301 </w:t>
      </w:r>
      <w:r>
        <w:rPr>
          <w:rFonts w:hint="eastAsia" w:ascii="仿宋_GB2312" w:hAnsi="仿宋_GB2312" w:eastAsia="仿宋_GB2312" w:cs="仿宋_GB2312"/>
          <w:sz w:val="32"/>
          <w:szCs w:val="32"/>
        </w:rPr>
        <w:t>（项）。</w:t>
      </w:r>
    </w:p>
    <w:p>
      <w:pPr>
        <w:pStyle w:val="10"/>
        <w:keepNext w:val="0"/>
        <w:keepLines w:val="0"/>
        <w:pageBreakBefore w:val="0"/>
        <w:kinsoku/>
        <w:wordWrap/>
        <w:overflowPunct/>
        <w:topLinePunct w:val="0"/>
        <w:bidi w:val="0"/>
        <w:snapToGrid/>
        <w:spacing w:beforeAutospacing="0" w:afterAutospacing="0" w:line="560" w:lineRule="atLeas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2067.75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2067.75</w:t>
      </w:r>
      <w:r>
        <w:rPr>
          <w:rFonts w:hint="eastAsia" w:ascii="仿宋_GB2312" w:hAnsi="仿宋_GB2312" w:eastAsia="仿宋_GB2312" w:cs="仿宋_GB2312"/>
          <w:sz w:val="32"/>
          <w:szCs w:val="32"/>
        </w:rPr>
        <w:t>万元，</w:t>
      </w:r>
    </w:p>
    <w:p>
      <w:pPr>
        <w:pStyle w:val="10"/>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六、一般公共预算财政拨款基本支出决算情况说明</w:t>
      </w:r>
    </w:p>
    <w:p>
      <w:pPr>
        <w:pStyle w:val="10"/>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2019年度财政拨款基本支出</w:t>
      </w:r>
      <w:r>
        <w:rPr>
          <w:rFonts w:hint="eastAsia" w:ascii="仿宋_GB2312" w:hAnsi="仿宋_GB2312" w:eastAsia="仿宋_GB2312" w:cs="仿宋_GB2312"/>
          <w:sz w:val="32"/>
          <w:szCs w:val="32"/>
          <w:lang w:val="en-US" w:eastAsia="zh-CN"/>
        </w:rPr>
        <w:t>3225.75</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1720.75</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%,主要包括基本工资、津贴补贴、奖金、伙食补助费；公用经费</w:t>
      </w:r>
      <w:r>
        <w:rPr>
          <w:rFonts w:hint="eastAsia" w:ascii="仿宋_GB2312" w:hAnsi="仿宋_GB2312" w:eastAsia="仿宋_GB2312" w:cs="仿宋_GB2312"/>
          <w:sz w:val="32"/>
          <w:szCs w:val="32"/>
          <w:lang w:val="en-US" w:eastAsia="zh-CN"/>
        </w:rPr>
        <w:t>1505</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%，包括单位办公费、印刷费、水电费、邮电费、取暖费、交通费、差旅费、会议费、物业管理费、维修费、专用材料费、一般购置费、专项维护费</w:t>
      </w:r>
      <w:r>
        <w:rPr>
          <w:rFonts w:hint="eastAsia" w:ascii="仿宋_GB2312" w:hAnsi="仿宋_GB2312" w:eastAsia="仿宋_GB2312" w:cs="仿宋_GB2312"/>
          <w:sz w:val="32"/>
          <w:szCs w:val="32"/>
          <w:lang w:eastAsia="zh-CN"/>
        </w:rPr>
        <w:t>、基础设施建设</w:t>
      </w:r>
      <w:r>
        <w:rPr>
          <w:rFonts w:hint="eastAsia" w:ascii="仿宋_GB2312" w:hAnsi="仿宋_GB2312" w:eastAsia="仿宋_GB2312" w:cs="仿宋_GB2312"/>
          <w:sz w:val="32"/>
          <w:szCs w:val="32"/>
        </w:rPr>
        <w:t>等开支。</w:t>
      </w:r>
    </w:p>
    <w:p>
      <w:pPr>
        <w:pStyle w:val="10"/>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七、一般公共预算财政拨款三公经费支出决算情况说明</w:t>
      </w:r>
    </w:p>
    <w:p>
      <w:pPr>
        <w:pStyle w:val="10"/>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w:t>
      </w:r>
    </w:p>
    <w:p>
      <w:pPr>
        <w:pStyle w:val="10"/>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10"/>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0"/>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公务用车购置费及运行维护费支出预算为</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2019年度“三公”经费财政拨款支出决算中，公务接待费支出决算</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万元，公务用车购置费及运行维护费支出决算</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0"/>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p>
    <w:p>
      <w:pPr>
        <w:pStyle w:val="10"/>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p>
    <w:p>
      <w:pPr>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val="en-US" w:eastAsia="zh-CN"/>
        </w:rPr>
        <w:t>维护费</w:t>
      </w:r>
      <w:r>
        <w:rPr>
          <w:rFonts w:hint="eastAsia" w:ascii="仿宋_GB2312" w:hAnsi="仿宋_GB2312" w:eastAsia="仿宋_GB2312" w:cs="仿宋_GB2312"/>
          <w:sz w:val="32"/>
          <w:szCs w:val="32"/>
        </w:rPr>
        <w:t>支出，截止2019年12月31日，我单位开支财政拨款的公务用车保有量为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en-US" w:eastAsia="zh-CN"/>
        </w:rPr>
        <w:t xml:space="preserve"> </w:t>
      </w:r>
    </w:p>
    <w:p>
      <w:pPr>
        <w:pStyle w:val="10"/>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八、政府性基金预算收入支出决算情况</w:t>
      </w:r>
    </w:p>
    <w:p>
      <w:pPr>
        <w:pStyle w:val="10"/>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 xml:space="preserve">  本单位无政府性基金收支</w:t>
      </w:r>
    </w:p>
    <w:p>
      <w:pPr>
        <w:pStyle w:val="10"/>
        <w:keepNext w:val="0"/>
        <w:keepLines w:val="0"/>
        <w:pageBreakBefore w:val="0"/>
        <w:numPr>
          <w:ilvl w:val="0"/>
          <w:numId w:val="0"/>
        </w:numPr>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p>
    <w:p>
      <w:pPr>
        <w:pStyle w:val="10"/>
        <w:keepNext w:val="0"/>
        <w:keepLines w:val="0"/>
        <w:pageBreakBefore w:val="0"/>
        <w:numPr>
          <w:ilvl w:val="0"/>
          <w:numId w:val="0"/>
        </w:numPr>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rPr>
        <w:t>关于2019年度预算绩效情况说明</w:t>
      </w:r>
    </w:p>
    <w:p>
      <w:pPr>
        <w:keepNext w:val="0"/>
        <w:keepLines w:val="0"/>
        <w:pageBreakBefore w:val="0"/>
        <w:widowControl/>
        <w:kinsoku/>
        <w:wordWrap/>
        <w:overflowPunct/>
        <w:topLinePunct w:val="0"/>
        <w:bidi w:val="0"/>
        <w:snapToGrid/>
        <w:spacing w:beforeAutospacing="0" w:afterAutospacing="0" w:line="560" w:lineRule="atLeast"/>
        <w:ind w:firstLine="645"/>
        <w:textAlignment w:val="auto"/>
        <w:rPr>
          <w:rFonts w:hint="eastAsia" w:ascii="仿宋_GB2312" w:eastAsia="仿宋_GB2312"/>
          <w:b/>
          <w:bCs/>
          <w:sz w:val="32"/>
          <w:szCs w:val="32"/>
        </w:rPr>
      </w:pPr>
      <w:r>
        <w:rPr>
          <w:rFonts w:hint="eastAsia" w:ascii="仿宋_GB2312" w:eastAsia="仿宋_GB2312"/>
          <w:b/>
          <w:bCs/>
          <w:sz w:val="32"/>
          <w:szCs w:val="32"/>
        </w:rPr>
        <w:t>（一）绩效管理工作开展情况。</w:t>
      </w:r>
    </w:p>
    <w:p>
      <w:pPr>
        <w:pStyle w:val="5"/>
        <w:keepNext w:val="0"/>
        <w:keepLines w:val="0"/>
        <w:pageBreakBefore w:val="0"/>
        <w:widowControl/>
        <w:suppressLineNumbers w:val="0"/>
        <w:kinsoku/>
        <w:wordWrap/>
        <w:overflowPunct/>
        <w:topLinePunct w:val="0"/>
        <w:bidi w:val="0"/>
        <w:snapToGrid/>
        <w:spacing w:before="0" w:beforeAutospacing="0" w:after="0" w:afterAutospacing="0" w:line="560" w:lineRule="atLeast"/>
        <w:ind w:left="0" w:right="0" w:firstLine="640" w:firstLineChars="200"/>
        <w:jc w:val="both"/>
        <w:textAlignment w:val="auto"/>
        <w:rPr>
          <w:b w:val="0"/>
          <w:bCs w:val="0"/>
          <w:color w:val="auto"/>
        </w:rPr>
      </w:pPr>
      <w:r>
        <w:rPr>
          <w:rFonts w:ascii="仿宋_GB2312" w:hAnsi="宋体" w:eastAsia="仿宋_GB2312" w:cs="仿宋_GB2312"/>
          <w:b w:val="0"/>
          <w:bCs w:val="0"/>
          <w:color w:val="auto"/>
          <w:kern w:val="0"/>
          <w:sz w:val="32"/>
          <w:szCs w:val="32"/>
          <w:lang w:bidi="ar"/>
        </w:rPr>
        <w:t>按照</w:t>
      </w:r>
      <w:r>
        <w:rPr>
          <w:rFonts w:hint="eastAsia" w:ascii="仿宋" w:hAnsi="仿宋" w:eastAsia="仿宋" w:cs="仿宋"/>
          <w:b w:val="0"/>
          <w:bCs w:val="0"/>
          <w:color w:val="auto"/>
          <w:kern w:val="0"/>
          <w:sz w:val="32"/>
          <w:szCs w:val="32"/>
        </w:rPr>
        <w:t>《湖南省委办公厅湖南省人民政府办公厅关于全面实施预算绩效管理的实施意见》(湘办发〔201</w:t>
      </w:r>
      <w:r>
        <w:rPr>
          <w:rFonts w:ascii="仿宋" w:hAnsi="仿宋" w:eastAsia="仿宋" w:cs="仿宋"/>
          <w:b w:val="0"/>
          <w:bCs w:val="0"/>
          <w:color w:val="auto"/>
          <w:kern w:val="0"/>
          <w:sz w:val="32"/>
          <w:szCs w:val="32"/>
        </w:rPr>
        <w:t>9</w:t>
      </w:r>
      <w:r>
        <w:rPr>
          <w:rFonts w:hint="eastAsia" w:ascii="仿宋" w:hAnsi="仿宋" w:eastAsia="仿宋" w:cs="仿宋"/>
          <w:b w:val="0"/>
          <w:bCs w:val="0"/>
          <w:color w:val="auto"/>
          <w:kern w:val="0"/>
          <w:sz w:val="32"/>
          <w:szCs w:val="32"/>
        </w:rPr>
        <w:t>〕1</w:t>
      </w:r>
      <w:r>
        <w:rPr>
          <w:rFonts w:ascii="仿宋" w:hAnsi="仿宋" w:eastAsia="仿宋" w:cs="仿宋"/>
          <w:b w:val="0"/>
          <w:bCs w:val="0"/>
          <w:color w:val="auto"/>
          <w:kern w:val="0"/>
          <w:sz w:val="32"/>
          <w:szCs w:val="32"/>
        </w:rPr>
        <w:t>0</w:t>
      </w:r>
      <w:r>
        <w:rPr>
          <w:rFonts w:hint="eastAsia" w:ascii="仿宋" w:hAnsi="仿宋" w:eastAsia="仿宋" w:cs="仿宋"/>
          <w:b w:val="0"/>
          <w:bCs w:val="0"/>
          <w:color w:val="auto"/>
          <w:kern w:val="0"/>
          <w:sz w:val="32"/>
          <w:szCs w:val="32"/>
        </w:rPr>
        <w:t>号)</w:t>
      </w:r>
      <w:r>
        <w:rPr>
          <w:rFonts w:hint="eastAsia" w:ascii="仿宋_GB2312" w:hAnsi="宋体" w:eastAsia="仿宋_GB2312" w:cs="仿宋_GB2312"/>
          <w:b w:val="0"/>
          <w:bCs w:val="0"/>
          <w:color w:val="auto"/>
          <w:kern w:val="0"/>
          <w:sz w:val="32"/>
          <w:szCs w:val="32"/>
          <w:lang w:eastAsia="zh-CN" w:bidi="ar"/>
        </w:rPr>
        <w:t>、</w:t>
      </w:r>
      <w:r>
        <w:rPr>
          <w:rFonts w:hint="eastAsia" w:ascii="仿宋" w:hAnsi="仿宋" w:eastAsia="仿宋" w:cs="仿宋"/>
          <w:b w:val="0"/>
          <w:bCs w:val="0"/>
          <w:color w:val="auto"/>
          <w:sz w:val="32"/>
          <w:szCs w:val="32"/>
        </w:rPr>
        <w:t>永州市财政局《关于报送2020年预算绩效目标和2019年度部门预算绩效自评报告的通知》（永财绩[2020]1号）文件</w:t>
      </w:r>
      <w:r>
        <w:rPr>
          <w:rFonts w:ascii="仿宋_GB2312" w:hAnsi="宋体" w:eastAsia="仿宋_GB2312" w:cs="仿宋_GB2312"/>
          <w:b w:val="0"/>
          <w:bCs w:val="0"/>
          <w:color w:val="auto"/>
          <w:kern w:val="0"/>
          <w:sz w:val="32"/>
          <w:szCs w:val="32"/>
          <w:lang w:bidi="ar"/>
        </w:rPr>
        <w:t>要求，</w:t>
      </w:r>
      <w:r>
        <w:rPr>
          <w:rFonts w:ascii="仿宋_GB2312" w:hAnsi="宋体" w:eastAsia="仿宋_GB2312" w:cs="黑体"/>
          <w:color w:val="auto"/>
          <w:kern w:val="2"/>
          <w:sz w:val="32"/>
          <w:szCs w:val="32"/>
        </w:rPr>
        <w:t>本着独立、客观、公正、科学的原则</w:t>
      </w:r>
      <w:r>
        <w:rPr>
          <w:rFonts w:hint="eastAsia" w:ascii="仿宋_GB2312" w:hAnsi="宋体" w:eastAsia="仿宋_GB2312" w:cs="黑体"/>
          <w:color w:val="auto"/>
          <w:kern w:val="2"/>
          <w:sz w:val="32"/>
          <w:szCs w:val="32"/>
          <w:lang w:eastAsia="zh-CN"/>
        </w:rPr>
        <w:t>，</w:t>
      </w:r>
      <w:r>
        <w:rPr>
          <w:rFonts w:hint="eastAsia" w:ascii="仿宋_GB2312" w:hAnsi="宋体" w:eastAsia="仿宋_GB2312" w:cs="仿宋_GB2312"/>
          <w:b w:val="0"/>
          <w:bCs w:val="0"/>
          <w:color w:val="auto"/>
          <w:kern w:val="0"/>
          <w:sz w:val="32"/>
          <w:szCs w:val="32"/>
          <w:lang w:val="en-US" w:eastAsia="zh-CN" w:bidi="ar"/>
        </w:rPr>
        <w:t>我单位</w:t>
      </w:r>
      <w:r>
        <w:rPr>
          <w:rFonts w:hint="eastAsia" w:ascii="仿宋" w:hAnsi="仿宋" w:eastAsia="仿宋" w:cs="仿宋"/>
          <w:b w:val="0"/>
          <w:bCs w:val="0"/>
          <w:color w:val="auto"/>
          <w:kern w:val="2"/>
          <w:sz w:val="32"/>
          <w:szCs w:val="32"/>
          <w:lang w:val="en-US" w:eastAsia="zh-CN" w:bidi="ar"/>
        </w:rPr>
        <w:t>成立了自评小组，对部门整体支出绩效开展了自评。</w:t>
      </w:r>
    </w:p>
    <w:p>
      <w:pPr>
        <w:keepNext w:val="0"/>
        <w:keepLines w:val="0"/>
        <w:pageBreakBefore w:val="0"/>
        <w:widowControl/>
        <w:numPr>
          <w:ilvl w:val="0"/>
          <w:numId w:val="3"/>
        </w:numPr>
        <w:kinsoku/>
        <w:wordWrap/>
        <w:overflowPunct/>
        <w:topLinePunct w:val="0"/>
        <w:bidi w:val="0"/>
        <w:snapToGrid/>
        <w:spacing w:beforeAutospacing="0" w:afterAutospacing="0" w:line="560" w:lineRule="atLeast"/>
        <w:ind w:firstLine="645"/>
        <w:textAlignment w:val="auto"/>
        <w:rPr>
          <w:rFonts w:hint="eastAsia" w:ascii="仿宋_GB2312" w:eastAsia="仿宋_GB2312"/>
          <w:b/>
          <w:bCs/>
          <w:sz w:val="32"/>
          <w:szCs w:val="32"/>
        </w:rPr>
      </w:pPr>
      <w:r>
        <w:rPr>
          <w:rFonts w:hint="eastAsia" w:ascii="仿宋_GB2312" w:eastAsia="仿宋_GB2312"/>
          <w:b/>
          <w:bCs/>
          <w:sz w:val="32"/>
          <w:szCs w:val="32"/>
        </w:rPr>
        <w:t>项目绩效自评结果、重点绩效评价结果。</w:t>
      </w:r>
    </w:p>
    <w:p>
      <w:pPr>
        <w:keepNext w:val="0"/>
        <w:keepLines w:val="0"/>
        <w:pageBreakBefore w:val="0"/>
        <w:widowControl/>
        <w:numPr>
          <w:ilvl w:val="0"/>
          <w:numId w:val="0"/>
        </w:numPr>
        <w:kinsoku/>
        <w:wordWrap/>
        <w:overflowPunct/>
        <w:topLinePunct w:val="0"/>
        <w:bidi w:val="0"/>
        <w:snapToGrid/>
        <w:spacing w:beforeAutospacing="0" w:afterAutospacing="0" w:line="560" w:lineRule="atLeast"/>
        <w:textAlignment w:val="auto"/>
        <w:rPr>
          <w:rFonts w:hint="eastAsia" w:ascii="仿宋_GB2312" w:eastAsia="仿宋_GB2312"/>
          <w:b w:val="0"/>
          <w:bCs w:val="0"/>
          <w:i/>
          <w:iCs/>
          <w:color w:val="FF000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部门</w:t>
      </w:r>
      <w:r>
        <w:rPr>
          <w:rFonts w:hint="eastAsia" w:ascii="仿宋_GB2312" w:hAnsi="仿宋_GB2312" w:eastAsia="仿宋_GB2312" w:cs="仿宋_GB2312"/>
          <w:b w:val="0"/>
          <w:bCs w:val="0"/>
          <w:i w:val="0"/>
          <w:caps w:val="0"/>
          <w:color w:val="auto"/>
          <w:spacing w:val="0"/>
          <w:sz w:val="32"/>
          <w:szCs w:val="32"/>
          <w:shd w:val="clear" w:fill="FFFFFF"/>
          <w:lang w:val="en-US" w:eastAsia="zh-CN"/>
        </w:rPr>
        <w:t>预算</w:t>
      </w:r>
      <w:r>
        <w:rPr>
          <w:rFonts w:hint="eastAsia" w:ascii="仿宋_GB2312" w:hAnsi="仿宋_GB2312" w:eastAsia="仿宋_GB2312" w:cs="仿宋_GB2312"/>
          <w:b w:val="0"/>
          <w:bCs w:val="0"/>
          <w:i w:val="0"/>
          <w:caps w:val="0"/>
          <w:color w:val="auto"/>
          <w:spacing w:val="0"/>
          <w:sz w:val="32"/>
          <w:szCs w:val="32"/>
          <w:shd w:val="clear" w:fill="FFFFFF"/>
        </w:rPr>
        <w:t>整体支出绩效评价自评分为</w:t>
      </w:r>
      <w:r>
        <w:rPr>
          <w:rFonts w:hint="eastAsia" w:ascii="仿宋_GB2312" w:hAnsi="仿宋_GB2312" w:eastAsia="仿宋_GB2312" w:cs="仿宋_GB2312"/>
          <w:b w:val="0"/>
          <w:bCs w:val="0"/>
          <w:i w:val="0"/>
          <w:caps w:val="0"/>
          <w:color w:val="auto"/>
          <w:spacing w:val="0"/>
          <w:sz w:val="32"/>
          <w:szCs w:val="32"/>
          <w:shd w:val="clear" w:fill="FFFFFF"/>
          <w:lang w:val="en-US" w:eastAsia="zh-CN"/>
        </w:rPr>
        <w:t>90</w:t>
      </w:r>
      <w:r>
        <w:rPr>
          <w:rFonts w:hint="eastAsia" w:ascii="仿宋_GB2312" w:hAnsi="仿宋_GB2312" w:eastAsia="仿宋_GB2312" w:cs="仿宋_GB2312"/>
          <w:b w:val="0"/>
          <w:bCs w:val="0"/>
          <w:i w:val="0"/>
          <w:caps w:val="0"/>
          <w:color w:val="auto"/>
          <w:spacing w:val="0"/>
          <w:sz w:val="32"/>
          <w:szCs w:val="32"/>
          <w:shd w:val="clear" w:fill="FFFFFF"/>
        </w:rPr>
        <w:t>分</w:t>
      </w:r>
    </w:p>
    <w:p>
      <w:pPr>
        <w:pStyle w:val="10"/>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十、其他重要事项情况说明</w:t>
      </w:r>
    </w:p>
    <w:p>
      <w:pPr>
        <w:keepNext w:val="0"/>
        <w:keepLines w:val="0"/>
        <w:pageBreakBefore w:val="0"/>
        <w:kinsoku/>
        <w:wordWrap/>
        <w:overflowPunct/>
        <w:topLinePunct w:val="0"/>
        <w:bidi w:val="0"/>
        <w:snapToGrid/>
        <w:spacing w:beforeAutospacing="0" w:afterAutospacing="0" w:line="560" w:lineRule="atLeast"/>
        <w:ind w:firstLine="480" w:firstLineChars="15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（一）机关运行经费支出情况</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本部门2019 年度机关运行经费支出</w:t>
      </w:r>
      <w:r>
        <w:rPr>
          <w:rFonts w:hint="eastAsia" w:ascii="仿宋_GB2312" w:hAnsi="仿宋_GB2312" w:eastAsia="仿宋_GB2312" w:cs="仿宋_GB2312"/>
          <w:color w:val="000000"/>
          <w:kern w:val="0"/>
          <w:sz w:val="32"/>
          <w:szCs w:val="32"/>
          <w:lang w:val="en-US" w:eastAsia="zh-CN"/>
        </w:rPr>
        <w:t>1505</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（二）一般性支出情况</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2019年本部门开支会议费</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万元，用于召开会议；开支培训费</w:t>
      </w: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rPr>
        <w:t>万元，用于开展培训</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（三）政府采购支出情况</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i/>
          <w:color w:val="FF0000"/>
          <w:kern w:val="0"/>
          <w:sz w:val="32"/>
          <w:szCs w:val="32"/>
        </w:rPr>
      </w:pPr>
      <w:r>
        <w:rPr>
          <w:rFonts w:hint="eastAsia" w:ascii="仿宋_GB2312" w:hAnsi="仿宋_GB2312" w:eastAsia="仿宋_GB2312" w:cs="仿宋_GB2312"/>
          <w:color w:val="000000"/>
          <w:kern w:val="0"/>
          <w:sz w:val="32"/>
          <w:szCs w:val="32"/>
        </w:rPr>
        <w:t>本部门2019年度政府采购支出总额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万元，其中：政府采购货物支出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bidi w:val="0"/>
        <w:snapToGrid/>
        <w:spacing w:beforeAutospacing="0" w:afterAutospacing="0" w:line="560" w:lineRule="atLeast"/>
        <w:ind w:firstLine="480" w:firstLineChars="15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（四）国有资产占用情况</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截至2019年12月31日，本单位共有车辆</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辆，其中，执法执勤用车</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辆；单位价值50万元以上通用设备</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台（套）；单位价值100万元以上专用设备</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台（套）。</w:t>
      </w:r>
    </w:p>
    <w:p>
      <w:pPr>
        <w:keepNext w:val="0"/>
        <w:keepLines w:val="0"/>
        <w:pageBreakBefore w:val="0"/>
        <w:widowControl/>
        <w:kinsoku/>
        <w:wordWrap/>
        <w:overflowPunct/>
        <w:topLinePunct w:val="0"/>
        <w:bidi w:val="0"/>
        <w:snapToGrid/>
        <w:spacing w:beforeAutospacing="0" w:afterAutospacing="0" w:line="560" w:lineRule="atLeas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br w:type="page"/>
      </w:r>
    </w:p>
    <w:p>
      <w:pPr>
        <w:pStyle w:val="10"/>
        <w:keepNext w:val="0"/>
        <w:keepLines w:val="0"/>
        <w:pageBreakBefore w:val="0"/>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sz w:val="32"/>
          <w:szCs w:val="32"/>
        </w:rPr>
        <w:t>第四部分</w:t>
      </w:r>
      <w:r>
        <w:rPr>
          <w:rFonts w:hint="eastAsia" w:ascii="仿宋_GB2312" w:hAnsi="仿宋_GB2312" w:eastAsia="仿宋_GB2312" w:cs="仿宋_GB2312"/>
          <w:b/>
          <w:bCs/>
          <w:color w:val="000000"/>
          <w:kern w:val="0"/>
          <w:sz w:val="32"/>
          <w:szCs w:val="32"/>
        </w:rPr>
        <w:t>名词解释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atLeas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lang w:eastAsia="zh-CN"/>
        </w:rPr>
        <w:t>（一）</w:t>
      </w:r>
      <w:r>
        <w:rPr>
          <w:rFonts w:hint="eastAsia" w:ascii="楷体_GB2312" w:hAnsi="楷体_GB2312" w:eastAsia="楷体_GB2312" w:cs="楷体_GB2312"/>
          <w:b/>
          <w:bCs/>
          <w:i w:val="0"/>
          <w:caps w:val="0"/>
          <w:color w:val="000000"/>
          <w:spacing w:val="0"/>
          <w:sz w:val="32"/>
          <w:szCs w:val="32"/>
          <w:shd w:val="clear" w:color="auto" w:fill="FFFFFF"/>
        </w:rPr>
        <w:t>机关运行经费</w:t>
      </w:r>
      <w:r>
        <w:rPr>
          <w:rFonts w:hint="eastAsia" w:ascii="仿宋_GB2312" w:hAnsi="仿宋_GB2312" w:eastAsia="仿宋_GB2312" w:cs="仿宋_GB2312"/>
          <w:i w:val="0"/>
          <w:caps w:val="0"/>
          <w:color w:val="000000"/>
          <w:spacing w:val="0"/>
          <w:sz w:val="32"/>
          <w:szCs w:val="32"/>
          <w:shd w:val="clear" w:color="auto" w:fill="FFFFFF"/>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atLeas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lang w:eastAsia="zh-CN"/>
        </w:rPr>
        <w:t>（二）</w:t>
      </w:r>
      <w:r>
        <w:rPr>
          <w:rFonts w:hint="eastAsia" w:ascii="楷体_GB2312" w:hAnsi="楷体_GB2312" w:eastAsia="楷体_GB2312" w:cs="楷体_GB2312"/>
          <w:b/>
          <w:bCs/>
          <w:i w:val="0"/>
          <w:caps w:val="0"/>
          <w:color w:val="000000"/>
          <w:spacing w:val="0"/>
          <w:sz w:val="32"/>
          <w:szCs w:val="32"/>
          <w:shd w:val="clear" w:color="auto" w:fill="FFFFFF"/>
        </w:rPr>
        <w:t>“三公”经费。</w:t>
      </w:r>
      <w:r>
        <w:rPr>
          <w:rFonts w:hint="eastAsia" w:ascii="仿宋_GB2312" w:hAnsi="仿宋_GB2312" w:eastAsia="仿宋_GB2312" w:cs="仿宋_GB2312"/>
          <w:i w:val="0"/>
          <w:caps w:val="0"/>
          <w:color w:val="000000"/>
          <w:spacing w:val="0"/>
          <w:sz w:val="32"/>
          <w:szCs w:val="32"/>
          <w:shd w:val="clear" w:color="auto" w:fill="FFFFFF"/>
        </w:rPr>
        <w:t>一般公共预算“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atLeas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lang w:eastAsia="zh-CN"/>
        </w:rPr>
        <w:t>（三）</w:t>
      </w:r>
      <w:r>
        <w:rPr>
          <w:rFonts w:hint="eastAsia" w:ascii="楷体_GB2312" w:hAnsi="楷体_GB2312" w:eastAsia="楷体_GB2312" w:cs="楷体_GB2312"/>
          <w:b/>
          <w:bCs/>
          <w:i w:val="0"/>
          <w:caps w:val="0"/>
          <w:color w:val="000000"/>
          <w:spacing w:val="0"/>
          <w:sz w:val="32"/>
          <w:szCs w:val="32"/>
          <w:shd w:val="clear" w:color="auto" w:fill="FFFFFF"/>
        </w:rPr>
        <w:t>基本支出。</w:t>
      </w:r>
      <w:r>
        <w:rPr>
          <w:rFonts w:hint="eastAsia" w:ascii="仿宋_GB2312" w:hAnsi="仿宋_GB2312" w:eastAsia="仿宋_GB2312" w:cs="仿宋_GB2312"/>
          <w:i w:val="0"/>
          <w:caps w:val="0"/>
          <w:color w:val="000000"/>
          <w:spacing w:val="0"/>
          <w:sz w:val="32"/>
          <w:szCs w:val="32"/>
          <w:shd w:val="clear" w:color="auto" w:fill="FFFFFF"/>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atLeas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lang w:eastAsia="zh-CN"/>
        </w:rPr>
        <w:t>（四）</w:t>
      </w:r>
      <w:r>
        <w:rPr>
          <w:rFonts w:hint="eastAsia" w:ascii="楷体_GB2312" w:hAnsi="楷体_GB2312" w:eastAsia="楷体_GB2312" w:cs="楷体_GB2312"/>
          <w:b/>
          <w:bCs/>
          <w:i w:val="0"/>
          <w:caps w:val="0"/>
          <w:color w:val="000000"/>
          <w:spacing w:val="0"/>
          <w:sz w:val="32"/>
          <w:szCs w:val="32"/>
          <w:shd w:val="clear" w:color="auto" w:fill="FFFFFF"/>
        </w:rPr>
        <w:t>项目支出。</w:t>
      </w:r>
      <w:r>
        <w:rPr>
          <w:rFonts w:hint="eastAsia" w:ascii="仿宋_GB2312" w:hAnsi="仿宋_GB2312" w:eastAsia="仿宋_GB2312" w:cs="仿宋_GB2312"/>
          <w:i w:val="0"/>
          <w:caps w:val="0"/>
          <w:color w:val="000000"/>
          <w:spacing w:val="0"/>
          <w:sz w:val="32"/>
          <w:szCs w:val="32"/>
          <w:shd w:val="clear" w:color="auto" w:fill="FFFFFF"/>
        </w:rPr>
        <w:t>指在基本支出之外为完成特定行政任务和事业发展目标所发生的支出。</w:t>
      </w:r>
    </w:p>
    <w:p>
      <w:pPr>
        <w:pStyle w:val="10"/>
        <w:keepNext w:val="0"/>
        <w:keepLines w:val="0"/>
        <w:pageBreakBefore w:val="0"/>
        <w:kinsoku/>
        <w:wordWrap/>
        <w:overflowPunct/>
        <w:topLinePunct w:val="0"/>
        <w:bidi w:val="0"/>
        <w:snapToGrid/>
        <w:spacing w:beforeAutospacing="0" w:afterAutospacing="0" w:line="560" w:lineRule="atLeast"/>
        <w:jc w:val="both"/>
        <w:textAlignment w:val="auto"/>
        <w:rPr>
          <w:rFonts w:hint="eastAsia"/>
          <w:sz w:val="72"/>
          <w:szCs w:val="72"/>
        </w:rPr>
      </w:pPr>
    </w:p>
    <w:p>
      <w:pPr>
        <w:pStyle w:val="10"/>
        <w:jc w:val="both"/>
        <w:rPr>
          <w:rFonts w:hint="eastAsia"/>
          <w:sz w:val="72"/>
          <w:szCs w:val="72"/>
        </w:rPr>
      </w:pPr>
    </w:p>
    <w:p>
      <w:pPr>
        <w:pStyle w:val="10"/>
        <w:jc w:val="both"/>
        <w:rPr>
          <w:rFonts w:hint="eastAsia"/>
          <w:sz w:val="72"/>
          <w:szCs w:val="72"/>
        </w:rPr>
      </w:pPr>
    </w:p>
    <w:p>
      <w:pPr>
        <w:pStyle w:val="10"/>
        <w:jc w:val="both"/>
        <w:rPr>
          <w:rFonts w:hint="eastAsia"/>
          <w:sz w:val="72"/>
          <w:szCs w:val="72"/>
        </w:rPr>
      </w:pPr>
    </w:p>
    <w:p>
      <w:pPr>
        <w:pStyle w:val="10"/>
        <w:jc w:val="both"/>
        <w:rPr>
          <w:rFonts w:hint="eastAsia"/>
          <w:sz w:val="72"/>
          <w:szCs w:val="72"/>
        </w:rPr>
      </w:pPr>
    </w:p>
    <w:p>
      <w:pPr>
        <w:pStyle w:val="10"/>
        <w:jc w:val="both"/>
        <w:rPr>
          <w:rFonts w:hint="eastAsia"/>
          <w:sz w:val="72"/>
          <w:szCs w:val="72"/>
        </w:rPr>
      </w:pPr>
    </w:p>
    <w:p>
      <w:pPr>
        <w:pStyle w:val="10"/>
        <w:jc w:val="both"/>
        <w:rPr>
          <w:rFonts w:hint="eastAsia"/>
          <w:sz w:val="72"/>
          <w:szCs w:val="72"/>
        </w:rPr>
      </w:pPr>
    </w:p>
    <w:p>
      <w:pPr>
        <w:pStyle w:val="10"/>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sz w:val="32"/>
          <w:szCs w:val="32"/>
        </w:rPr>
        <w:t>第五部分</w:t>
      </w:r>
      <w:r>
        <w:rPr>
          <w:rFonts w:hint="eastAsia" w:ascii="仿宋_GB2312" w:hAnsi="仿宋_GB2312" w:eastAsia="仿宋_GB2312" w:cs="仿宋_GB2312"/>
          <w:b/>
          <w:bCs/>
          <w:color w:val="000000"/>
          <w:kern w:val="0"/>
          <w:sz w:val="32"/>
          <w:szCs w:val="32"/>
        </w:rPr>
        <w:t>附件</w:t>
      </w:r>
    </w:p>
    <w:p>
      <w:pPr>
        <w:widowControl/>
        <w:jc w:val="cente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2019年度部门整体支出绩效评价报告</w:t>
      </w:r>
    </w:p>
    <w:p>
      <w:pPr>
        <w:ind w:firstLine="640" w:firstLineChars="200"/>
        <w:jc w:val="left"/>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无</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0491D3-F4FD-4E44-9F34-D01E52BE6B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784E050A-52FF-404A-B217-C3CF7BEDE3E8}"/>
  </w:font>
  <w:font w:name="仿宋_GB2312">
    <w:panose1 w:val="02010609030101010101"/>
    <w:charset w:val="86"/>
    <w:family w:val="modern"/>
    <w:pitch w:val="default"/>
    <w:sig w:usb0="00000001" w:usb1="080E0000" w:usb2="00000000" w:usb3="00000000" w:csb0="00040000" w:csb1="00000000"/>
    <w:embedRegular r:id="rId3" w:fontKey="{A207C9D0-735A-4B54-91CD-23C8F057F25D}"/>
  </w:font>
  <w:font w:name="方正小标宋_GBK">
    <w:panose1 w:val="02000000000000000000"/>
    <w:charset w:val="86"/>
    <w:family w:val="script"/>
    <w:pitch w:val="default"/>
    <w:sig w:usb0="A00002BF" w:usb1="38CF7CFA" w:usb2="00082016" w:usb3="00000000" w:csb0="00040001" w:csb1="00000000"/>
    <w:embedRegular r:id="rId4" w:fontKey="{74CCA426-E6DC-467C-80EB-4751FAB9D88E}"/>
  </w:font>
  <w:font w:name="仿宋">
    <w:panose1 w:val="02010609060101010101"/>
    <w:charset w:val="86"/>
    <w:family w:val="roman"/>
    <w:pitch w:val="default"/>
    <w:sig w:usb0="800002BF" w:usb1="38CF7CFA" w:usb2="00000016" w:usb3="00000000" w:csb0="00040001" w:csb1="00000000"/>
    <w:embedRegular r:id="rId5" w:fontKey="{EA1BD5E0-EF5C-4F3E-BF56-D471C90DDE6A}"/>
  </w:font>
  <w:font w:name="楷体_GB2312">
    <w:panose1 w:val="02010609030101010101"/>
    <w:charset w:val="86"/>
    <w:family w:val="auto"/>
    <w:pitch w:val="default"/>
    <w:sig w:usb0="00000001" w:usb1="080E0000" w:usb2="00000000" w:usb3="00000000" w:csb0="00040000" w:csb1="00000000"/>
    <w:embedRegular r:id="rId6" w:fontKey="{B4B21EE0-15E4-4E58-9D65-B3D64EA24F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952B33"/>
    <w:multiLevelType w:val="singleLevel"/>
    <w:tmpl w:val="F3952B33"/>
    <w:lvl w:ilvl="0" w:tentative="0">
      <w:start w:val="1"/>
      <w:numFmt w:val="chineseCounting"/>
      <w:suff w:val="nothing"/>
      <w:lvlText w:val="%1、"/>
      <w:lvlJc w:val="left"/>
      <w:rPr>
        <w:rFonts w:hint="eastAsia"/>
      </w:rPr>
    </w:lvl>
  </w:abstractNum>
  <w:abstractNum w:abstractNumId="1">
    <w:nsid w:val="02AF0D35"/>
    <w:multiLevelType w:val="singleLevel"/>
    <w:tmpl w:val="02AF0D35"/>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24AF4"/>
    <w:rsid w:val="00F74360"/>
    <w:rsid w:val="00FB462F"/>
    <w:rsid w:val="00FE16FA"/>
    <w:rsid w:val="00FE328A"/>
    <w:rsid w:val="015D1953"/>
    <w:rsid w:val="04B50818"/>
    <w:rsid w:val="05FA3FB2"/>
    <w:rsid w:val="069B6B14"/>
    <w:rsid w:val="06EB7A55"/>
    <w:rsid w:val="0A411DD2"/>
    <w:rsid w:val="0E345641"/>
    <w:rsid w:val="11221309"/>
    <w:rsid w:val="11BF230C"/>
    <w:rsid w:val="13504993"/>
    <w:rsid w:val="14030170"/>
    <w:rsid w:val="14C179F5"/>
    <w:rsid w:val="15F65201"/>
    <w:rsid w:val="16EF46F0"/>
    <w:rsid w:val="171B2A09"/>
    <w:rsid w:val="18067889"/>
    <w:rsid w:val="18D41F1C"/>
    <w:rsid w:val="19066A66"/>
    <w:rsid w:val="1CAC2531"/>
    <w:rsid w:val="1CB5210B"/>
    <w:rsid w:val="1D0B73F1"/>
    <w:rsid w:val="1E955E76"/>
    <w:rsid w:val="20596A3F"/>
    <w:rsid w:val="20B85736"/>
    <w:rsid w:val="21C05901"/>
    <w:rsid w:val="230607CE"/>
    <w:rsid w:val="23FD38E1"/>
    <w:rsid w:val="25D14936"/>
    <w:rsid w:val="26B84B96"/>
    <w:rsid w:val="275D1D76"/>
    <w:rsid w:val="28605033"/>
    <w:rsid w:val="2A9C44F6"/>
    <w:rsid w:val="2B78551E"/>
    <w:rsid w:val="2E0E2546"/>
    <w:rsid w:val="2FEB53E6"/>
    <w:rsid w:val="30302C29"/>
    <w:rsid w:val="326B0DE2"/>
    <w:rsid w:val="33CF6A55"/>
    <w:rsid w:val="35A6307A"/>
    <w:rsid w:val="36212B96"/>
    <w:rsid w:val="36561D38"/>
    <w:rsid w:val="37E95330"/>
    <w:rsid w:val="388C682A"/>
    <w:rsid w:val="3D4E378B"/>
    <w:rsid w:val="40902F7E"/>
    <w:rsid w:val="4096707B"/>
    <w:rsid w:val="40C65454"/>
    <w:rsid w:val="426575DE"/>
    <w:rsid w:val="45EA132F"/>
    <w:rsid w:val="46950BE8"/>
    <w:rsid w:val="46C2771A"/>
    <w:rsid w:val="47A61E8B"/>
    <w:rsid w:val="4B791C0B"/>
    <w:rsid w:val="4CD361EF"/>
    <w:rsid w:val="4CD418B9"/>
    <w:rsid w:val="4E0374AA"/>
    <w:rsid w:val="4EDD03DE"/>
    <w:rsid w:val="4FE33C01"/>
    <w:rsid w:val="507A1DFA"/>
    <w:rsid w:val="5104602A"/>
    <w:rsid w:val="53013A6F"/>
    <w:rsid w:val="533A0718"/>
    <w:rsid w:val="539F3B8E"/>
    <w:rsid w:val="57E22807"/>
    <w:rsid w:val="584D6926"/>
    <w:rsid w:val="59563905"/>
    <w:rsid w:val="59945DBD"/>
    <w:rsid w:val="5C0F714A"/>
    <w:rsid w:val="5DF71F82"/>
    <w:rsid w:val="5E0411C4"/>
    <w:rsid w:val="5E4D1F47"/>
    <w:rsid w:val="5F244426"/>
    <w:rsid w:val="611B6A7E"/>
    <w:rsid w:val="63B173A2"/>
    <w:rsid w:val="63FF656F"/>
    <w:rsid w:val="66FC05BE"/>
    <w:rsid w:val="67170BBD"/>
    <w:rsid w:val="6A5A6E8B"/>
    <w:rsid w:val="6B2A4DD1"/>
    <w:rsid w:val="73586C10"/>
    <w:rsid w:val="757F3C06"/>
    <w:rsid w:val="76C848B9"/>
    <w:rsid w:val="76DA2F97"/>
    <w:rsid w:val="770E7C04"/>
    <w:rsid w:val="78CD5244"/>
    <w:rsid w:val="78FE70F9"/>
    <w:rsid w:val="79F97410"/>
    <w:rsid w:val="7B0651AA"/>
    <w:rsid w:val="7D61134E"/>
    <w:rsid w:val="7E2731FF"/>
    <w:rsid w:val="7EE95C57"/>
    <w:rsid w:val="7F4C660C"/>
    <w:rsid w:val="7FC7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8</TotalTime>
  <ScaleCrop>false</ScaleCrop>
  <LinksUpToDate>false</LinksUpToDate>
  <CharactersWithSpaces>8418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2020-11-26T01:22:00Z</cp:lastPrinted>
  <dcterms:modified xsi:type="dcterms:W3CDTF">2021-01-13T09:08:07Z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